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5E464C"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ED0722"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50C53F75" w:rsidR="009C2829" w:rsidRPr="000257FB" w:rsidRDefault="00D50993" w:rsidP="00516278">
            <w:pPr>
              <w:pStyle w:val="Header"/>
              <w:jc w:val="center"/>
              <w:rPr>
                <w:rFonts w:asciiTheme="majorHAnsi" w:hAnsiTheme="majorHAnsi"/>
                <w:b/>
              </w:rPr>
            </w:pPr>
            <w:r>
              <w:rPr>
                <w:rFonts w:asciiTheme="majorHAnsi" w:hAnsiTheme="majorHAnsi"/>
                <w:b/>
                <w:sz w:val="22"/>
              </w:rPr>
              <w:t>July 5</w:t>
            </w:r>
            <w:r w:rsidR="009C2829">
              <w:rPr>
                <w:rFonts w:asciiTheme="majorHAnsi" w:hAnsiTheme="majorHAnsi"/>
                <w:b/>
                <w:sz w:val="22"/>
              </w:rPr>
              <w:t>, 201</w:t>
            </w:r>
            <w:r w:rsidR="005B619C">
              <w:rPr>
                <w:rFonts w:asciiTheme="majorHAnsi" w:hAnsiTheme="majorHAnsi"/>
                <w:b/>
                <w:sz w:val="22"/>
              </w:rPr>
              <w:t>8</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3EF91462" w14:textId="77777777" w:rsidR="005E464C" w:rsidRDefault="005E464C" w:rsidP="003F0266">
            <w:pPr>
              <w:rPr>
                <w:rFonts w:ascii="Calibri Light" w:hAnsi="Calibri Light"/>
                <w:noProof/>
                <w:sz w:val="20"/>
                <w:szCs w:val="20"/>
              </w:rPr>
            </w:pPr>
          </w:p>
          <w:p w14:paraId="597E7222" w14:textId="5A4C5F83" w:rsidR="00936B3A" w:rsidRPr="005E464C" w:rsidRDefault="005E464C" w:rsidP="003F0266">
            <w:pPr>
              <w:rPr>
                <w:rFonts w:ascii="Calibri Light" w:hAnsi="Calibri Light"/>
                <w:b/>
                <w:noProof/>
                <w:sz w:val="20"/>
                <w:szCs w:val="20"/>
              </w:rPr>
            </w:pPr>
            <w:r w:rsidRPr="005E464C">
              <w:rPr>
                <w:rFonts w:ascii="Calibri Light" w:hAnsi="Calibri Light"/>
                <w:b/>
                <w:noProof/>
                <w:sz w:val="20"/>
                <w:szCs w:val="20"/>
              </w:rPr>
              <w:t>OSAA</w:t>
            </w:r>
          </w:p>
          <w:p w14:paraId="3F942466" w14:textId="77777777" w:rsidR="005E464C" w:rsidRPr="005E464C" w:rsidRDefault="005E464C" w:rsidP="005E464C">
            <w:pPr>
              <w:rPr>
                <w:rFonts w:ascii="Calibri Light" w:hAnsi="Calibri Light"/>
                <w:sz w:val="20"/>
                <w:szCs w:val="20"/>
              </w:rPr>
            </w:pPr>
            <w:r w:rsidRPr="005E464C">
              <w:rPr>
                <w:rFonts w:ascii="Calibri Light" w:hAnsi="Calibri Light"/>
                <w:sz w:val="20"/>
                <w:szCs w:val="20"/>
              </w:rPr>
              <w:t xml:space="preserve">The </w:t>
            </w:r>
            <w:proofErr w:type="spellStart"/>
            <w:r w:rsidRPr="005E464C">
              <w:rPr>
                <w:rFonts w:ascii="Calibri Light" w:hAnsi="Calibri Light"/>
                <w:sz w:val="20"/>
                <w:szCs w:val="20"/>
              </w:rPr>
              <w:t>Prematriculation</w:t>
            </w:r>
            <w:proofErr w:type="spellEnd"/>
            <w:r w:rsidRPr="005E464C">
              <w:rPr>
                <w:rFonts w:ascii="Calibri Light" w:hAnsi="Calibri Light"/>
                <w:sz w:val="20"/>
                <w:szCs w:val="20"/>
              </w:rPr>
              <w:t xml:space="preserve"> Retention and Enrichment Program (PREP) concluded on Thursday, June 28, 2018. Twenty-six incoming medical students </w:t>
            </w:r>
            <w:proofErr w:type="gramStart"/>
            <w:r w:rsidRPr="005E464C">
              <w:rPr>
                <w:rFonts w:ascii="Calibri Light" w:hAnsi="Calibri Light"/>
                <w:sz w:val="20"/>
                <w:szCs w:val="20"/>
              </w:rPr>
              <w:t>were invited</w:t>
            </w:r>
            <w:proofErr w:type="gramEnd"/>
            <w:r w:rsidRPr="005E464C">
              <w:rPr>
                <w:rFonts w:ascii="Calibri Light" w:hAnsi="Calibri Light"/>
                <w:sz w:val="20"/>
                <w:szCs w:val="20"/>
              </w:rPr>
              <w:t xml:space="preserve"> to participate in PREP, a 6-week summer enrichment program, prior to the start of medical school. This program provided those students with a better understanding of what </w:t>
            </w:r>
            <w:proofErr w:type="gramStart"/>
            <w:r w:rsidRPr="005E464C">
              <w:rPr>
                <w:rFonts w:ascii="Calibri Light" w:hAnsi="Calibri Light"/>
                <w:sz w:val="20"/>
                <w:szCs w:val="20"/>
              </w:rPr>
              <w:t>will be expected</w:t>
            </w:r>
            <w:proofErr w:type="gramEnd"/>
            <w:r w:rsidRPr="005E464C">
              <w:rPr>
                <w:rFonts w:ascii="Calibri Light" w:hAnsi="Calibri Light"/>
                <w:sz w:val="20"/>
                <w:szCs w:val="20"/>
              </w:rPr>
              <w:t xml:space="preserve"> of them once they matriculate into medical school this Fall 2018. </w:t>
            </w:r>
          </w:p>
          <w:p w14:paraId="314528F5" w14:textId="77777777" w:rsidR="005E464C" w:rsidRPr="005E464C" w:rsidRDefault="005E464C" w:rsidP="005E464C">
            <w:pPr>
              <w:rPr>
                <w:rFonts w:ascii="Calibri Light" w:hAnsi="Calibri Light"/>
                <w:sz w:val="20"/>
                <w:szCs w:val="20"/>
              </w:rPr>
            </w:pPr>
          </w:p>
          <w:p w14:paraId="454118EB" w14:textId="77777777" w:rsidR="005E464C" w:rsidRPr="005E464C" w:rsidRDefault="005E464C" w:rsidP="005E464C">
            <w:pPr>
              <w:rPr>
                <w:rFonts w:ascii="Calibri Light" w:hAnsi="Calibri Light"/>
                <w:sz w:val="20"/>
                <w:szCs w:val="20"/>
              </w:rPr>
            </w:pPr>
            <w:r w:rsidRPr="005E464C">
              <w:rPr>
                <w:rFonts w:ascii="Calibri Light" w:hAnsi="Calibri Light"/>
                <w:sz w:val="20"/>
                <w:szCs w:val="20"/>
              </w:rPr>
              <w:t xml:space="preserve">The Early Medical School Acceptance Program hosted 33 undergraduate students at the UTMB campus for a </w:t>
            </w:r>
            <w:proofErr w:type="gramStart"/>
            <w:r w:rsidRPr="005E464C">
              <w:rPr>
                <w:rFonts w:ascii="Calibri Light" w:hAnsi="Calibri Light"/>
                <w:sz w:val="20"/>
                <w:szCs w:val="20"/>
              </w:rPr>
              <w:t>week long</w:t>
            </w:r>
            <w:proofErr w:type="gramEnd"/>
            <w:r w:rsidRPr="005E464C">
              <w:rPr>
                <w:rFonts w:ascii="Calibri Light" w:hAnsi="Calibri Light"/>
                <w:sz w:val="20"/>
                <w:szCs w:val="20"/>
              </w:rPr>
              <w:t xml:space="preserve"> summer experience learning about UTMB’s medical school from May 29 – June 2, 2018. While here, </w:t>
            </w:r>
            <w:proofErr w:type="spellStart"/>
            <w:r w:rsidRPr="005E464C">
              <w:rPr>
                <w:rFonts w:ascii="Calibri Light" w:hAnsi="Calibri Light"/>
                <w:sz w:val="20"/>
                <w:szCs w:val="20"/>
              </w:rPr>
              <w:t>EMSAPers</w:t>
            </w:r>
            <w:proofErr w:type="spellEnd"/>
            <w:r w:rsidRPr="005E464C">
              <w:rPr>
                <w:rFonts w:ascii="Calibri Light" w:hAnsi="Calibri Light"/>
                <w:sz w:val="20"/>
                <w:szCs w:val="20"/>
              </w:rPr>
              <w:t xml:space="preserve"> shadowed different medical specialti</w:t>
            </w:r>
            <w:bookmarkStart w:id="0" w:name="_GoBack"/>
            <w:bookmarkEnd w:id="0"/>
            <w:r w:rsidRPr="005E464C">
              <w:rPr>
                <w:rFonts w:ascii="Calibri Light" w:hAnsi="Calibri Light"/>
                <w:sz w:val="20"/>
                <w:szCs w:val="20"/>
              </w:rPr>
              <w:t xml:space="preserve">es, </w:t>
            </w:r>
            <w:proofErr w:type="gramStart"/>
            <w:r w:rsidRPr="005E464C">
              <w:rPr>
                <w:rFonts w:ascii="Calibri Light" w:hAnsi="Calibri Light"/>
                <w:sz w:val="20"/>
                <w:szCs w:val="20"/>
              </w:rPr>
              <w:t>were provided</w:t>
            </w:r>
            <w:proofErr w:type="gramEnd"/>
            <w:r w:rsidRPr="005E464C">
              <w:rPr>
                <w:rFonts w:ascii="Calibri Light" w:hAnsi="Calibri Light"/>
                <w:sz w:val="20"/>
                <w:szCs w:val="20"/>
              </w:rPr>
              <w:t xml:space="preserve"> study materials for MCAT Prep, learned about medical school interviews, and what is to be expected of the medical school application process.</w:t>
            </w:r>
          </w:p>
          <w:p w14:paraId="6D65C802" w14:textId="77777777" w:rsidR="005E464C" w:rsidRPr="005E464C" w:rsidRDefault="005E464C" w:rsidP="005E464C">
            <w:pPr>
              <w:rPr>
                <w:rFonts w:ascii="Calibri Light" w:hAnsi="Calibri Light"/>
                <w:color w:val="002060"/>
                <w:sz w:val="20"/>
                <w:szCs w:val="20"/>
              </w:rPr>
            </w:pPr>
          </w:p>
          <w:p w14:paraId="62ED5B37" w14:textId="77777777" w:rsidR="00936B3A" w:rsidRPr="005E464C" w:rsidRDefault="00936B3A" w:rsidP="008B6179">
            <w:pPr>
              <w:rPr>
                <w:rFonts w:ascii="Calibri Light" w:hAnsi="Calibri Light"/>
                <w:noProof/>
                <w:sz w:val="20"/>
                <w:szCs w:val="20"/>
              </w:rPr>
            </w:pPr>
          </w:p>
        </w:tc>
        <w:tc>
          <w:tcPr>
            <w:tcW w:w="5940" w:type="dxa"/>
            <w:gridSpan w:val="2"/>
          </w:tcPr>
          <w:p w14:paraId="5AEFCB73" w14:textId="77777777" w:rsidR="00C30B6C" w:rsidRDefault="00C30B6C" w:rsidP="00C30B6C">
            <w:pPr>
              <w:widowControl w:val="0"/>
              <w:autoSpaceDE w:val="0"/>
              <w:autoSpaceDN w:val="0"/>
              <w:adjustRightInd w:val="0"/>
              <w:rPr>
                <w:rFonts w:ascii="Calibri Light" w:hAnsi="Calibri Light" w:cs="Calibri"/>
                <w:sz w:val="21"/>
                <w:szCs w:val="21"/>
              </w:rPr>
            </w:pPr>
          </w:p>
          <w:p w14:paraId="37B66926" w14:textId="738B3ED9" w:rsidR="00D50993" w:rsidRPr="005D163A" w:rsidRDefault="00D50993" w:rsidP="00D50993">
            <w:pPr>
              <w:rPr>
                <w:rFonts w:asciiTheme="majorHAnsi" w:hAnsiTheme="majorHAnsi" w:cs="Arial"/>
                <w:b/>
                <w:color w:val="000000" w:themeColor="text1"/>
                <w:szCs w:val="20"/>
              </w:rPr>
            </w:pPr>
            <w:r>
              <w:rPr>
                <w:rFonts w:asciiTheme="majorHAnsi" w:hAnsiTheme="majorHAnsi" w:cs="Arial"/>
                <w:b/>
                <w:color w:val="000000" w:themeColor="text1"/>
                <w:szCs w:val="20"/>
              </w:rPr>
              <w:t xml:space="preserve">Episode 6 of Dr. </w:t>
            </w:r>
            <w:proofErr w:type="spellStart"/>
            <w:r>
              <w:rPr>
                <w:rFonts w:asciiTheme="majorHAnsi" w:hAnsiTheme="majorHAnsi" w:cs="Arial"/>
                <w:b/>
                <w:color w:val="000000" w:themeColor="text1"/>
                <w:szCs w:val="20"/>
              </w:rPr>
              <w:t>Callender’s</w:t>
            </w:r>
            <w:proofErr w:type="spellEnd"/>
            <w:r>
              <w:rPr>
                <w:rFonts w:asciiTheme="majorHAnsi" w:hAnsiTheme="majorHAnsi" w:cs="Arial"/>
                <w:b/>
                <w:color w:val="000000" w:themeColor="text1"/>
                <w:szCs w:val="20"/>
              </w:rPr>
              <w:t xml:space="preserve"> ‘Pulse’ video series now available:</w:t>
            </w:r>
            <w:r w:rsidRPr="005D163A">
              <w:rPr>
                <w:rFonts w:asciiTheme="majorHAnsi" w:hAnsiTheme="majorHAnsi" w:cs="Arial"/>
                <w:b/>
                <w:color w:val="000000" w:themeColor="text1"/>
                <w:szCs w:val="20"/>
              </w:rPr>
              <w:t xml:space="preserve"> </w:t>
            </w:r>
          </w:p>
          <w:p w14:paraId="741E92C4" w14:textId="3F63FA9E" w:rsidR="00D50993" w:rsidRPr="00D50993" w:rsidRDefault="00D50993" w:rsidP="00D50993">
            <w:pPr>
              <w:rPr>
                <w:rFonts w:ascii="Calibri Light" w:hAnsi="Calibri Light" w:cs="Calibri Light"/>
                <w:color w:val="000000"/>
                <w:sz w:val="21"/>
                <w:szCs w:val="21"/>
              </w:rPr>
            </w:pPr>
            <w:r w:rsidRPr="00D50993">
              <w:rPr>
                <w:rFonts w:ascii="Calibri Light" w:hAnsi="Calibri Light" w:cs="Calibri Light"/>
                <w:color w:val="000000"/>
                <w:sz w:val="21"/>
                <w:szCs w:val="21"/>
              </w:rPr>
              <w:t>In Episode 6, which was recorded June 28 and can be viewed at</w:t>
            </w:r>
            <w:r w:rsidRPr="00D50993">
              <w:rPr>
                <w:rStyle w:val="apple-converted-space"/>
                <w:rFonts w:ascii="Calibri Light" w:hAnsi="Calibri Light" w:cs="Calibri Light"/>
                <w:color w:val="000000"/>
                <w:sz w:val="21"/>
                <w:szCs w:val="21"/>
              </w:rPr>
              <w:t> </w:t>
            </w:r>
            <w:hyperlink r:id="rId13" w:history="1">
              <w:r w:rsidRPr="00084556">
                <w:rPr>
                  <w:rStyle w:val="Hyperlink"/>
                  <w:rFonts w:ascii="Calibri Light" w:hAnsi="Calibri Light" w:cs="Calibri Light"/>
                  <w:color w:val="FF0000"/>
                  <w:sz w:val="21"/>
                  <w:szCs w:val="21"/>
                </w:rPr>
                <w:t>https://www.utmb.edu/president/pulse</w:t>
              </w:r>
            </w:hyperlink>
            <w:r w:rsidRPr="00D50993">
              <w:rPr>
                <w:rFonts w:ascii="Calibri Light" w:hAnsi="Calibri Light" w:cs="Calibri Light"/>
                <w:color w:val="000000"/>
                <w:sz w:val="21"/>
                <w:szCs w:val="21"/>
              </w:rPr>
              <w:t xml:space="preserve">, UTMB President David </w:t>
            </w:r>
            <w:proofErr w:type="spellStart"/>
            <w:r w:rsidRPr="00D50993">
              <w:rPr>
                <w:rFonts w:ascii="Calibri Light" w:hAnsi="Calibri Light" w:cs="Calibri Light"/>
                <w:color w:val="000000"/>
                <w:sz w:val="21"/>
                <w:szCs w:val="21"/>
              </w:rPr>
              <w:t>Callender</w:t>
            </w:r>
            <w:proofErr w:type="spellEnd"/>
            <w:r w:rsidRPr="00D50993">
              <w:rPr>
                <w:rFonts w:ascii="Calibri Light" w:hAnsi="Calibri Light" w:cs="Calibri Light"/>
                <w:color w:val="000000"/>
                <w:sz w:val="21"/>
                <w:szCs w:val="21"/>
              </w:rPr>
              <w:t xml:space="preserve"> explains the benchmarking process </w:t>
            </w:r>
            <w:r w:rsidR="00962F24">
              <w:rPr>
                <w:rFonts w:ascii="Calibri Light" w:hAnsi="Calibri Light" w:cs="Calibri Light"/>
                <w:color w:val="000000"/>
                <w:sz w:val="21"/>
                <w:szCs w:val="21"/>
              </w:rPr>
              <w:t xml:space="preserve">used by </w:t>
            </w:r>
            <w:r w:rsidRPr="00D50993">
              <w:rPr>
                <w:rFonts w:ascii="Calibri Light" w:hAnsi="Calibri Light" w:cs="Calibri Light"/>
                <w:color w:val="000000"/>
                <w:sz w:val="21"/>
                <w:szCs w:val="21"/>
              </w:rPr>
              <w:t>Huron and BRG—the two consulting firms helping UTMB identify opportunities to improve our cost structure or improve revenue.</w:t>
            </w:r>
          </w:p>
          <w:p w14:paraId="53F16FD9" w14:textId="77777777" w:rsidR="00D50993" w:rsidRPr="00D50993" w:rsidRDefault="00D50993" w:rsidP="00D50993">
            <w:pPr>
              <w:numPr>
                <w:ilvl w:val="0"/>
                <w:numId w:val="17"/>
              </w:numPr>
              <w:rPr>
                <w:rFonts w:ascii="Calibri Light" w:hAnsi="Calibri Light" w:cs="Calibri Light"/>
                <w:color w:val="000000"/>
                <w:sz w:val="21"/>
                <w:szCs w:val="21"/>
              </w:rPr>
            </w:pPr>
            <w:r w:rsidRPr="00D50993">
              <w:rPr>
                <w:rFonts w:ascii="Calibri Light" w:hAnsi="Calibri Light" w:cs="Calibri Light"/>
                <w:color w:val="000000"/>
                <w:sz w:val="21"/>
                <w:szCs w:val="21"/>
              </w:rPr>
              <w:t>Huron’s focus is on Institutional Support and the Academic Enterprise. The consultants work with many institutions across the U.S. and bring to UTMB their knowledge of best practices and national benchmarks that we can consider in our efforts to transform how we work.</w:t>
            </w:r>
          </w:p>
          <w:p w14:paraId="705CC167" w14:textId="77777777" w:rsidR="00D50993" w:rsidRPr="00D50993" w:rsidRDefault="00D50993" w:rsidP="00D50993">
            <w:pPr>
              <w:numPr>
                <w:ilvl w:val="0"/>
                <w:numId w:val="17"/>
              </w:numPr>
              <w:rPr>
                <w:rFonts w:ascii="Calibri Light" w:hAnsi="Calibri Light" w:cs="Calibri Light"/>
                <w:color w:val="000000"/>
                <w:sz w:val="21"/>
                <w:szCs w:val="21"/>
              </w:rPr>
            </w:pPr>
            <w:r w:rsidRPr="00D50993">
              <w:rPr>
                <w:rFonts w:ascii="Calibri Light" w:hAnsi="Calibri Light" w:cs="Calibri Light"/>
                <w:color w:val="000000"/>
                <w:sz w:val="21"/>
                <w:szCs w:val="21"/>
              </w:rPr>
              <w:t>Huron has collected a lot of information from UTMB about our current structure and how we operate. This data is not specific to individuals or specific jobs. Rather, it will be used for benchmarking—a step in the process where specific areas of UTMB are compared to those at similar institutions.</w:t>
            </w:r>
          </w:p>
          <w:p w14:paraId="31748A00" w14:textId="51F71305" w:rsidR="00D50993" w:rsidRPr="00D50993" w:rsidRDefault="00D50993" w:rsidP="00D50993">
            <w:pPr>
              <w:numPr>
                <w:ilvl w:val="0"/>
                <w:numId w:val="17"/>
              </w:numPr>
              <w:rPr>
                <w:rFonts w:ascii="Calibri Light" w:hAnsi="Calibri Light" w:cs="Calibri Light"/>
                <w:color w:val="000000"/>
                <w:sz w:val="21"/>
                <w:szCs w:val="21"/>
              </w:rPr>
            </w:pPr>
            <w:r w:rsidRPr="00D50993">
              <w:rPr>
                <w:rFonts w:ascii="Calibri Light" w:hAnsi="Calibri Light" w:cs="Calibri Light"/>
                <w:color w:val="000000"/>
                <w:sz w:val="21"/>
                <w:szCs w:val="21"/>
              </w:rPr>
              <w:t>BRG focuses specifically on the Healt</w:t>
            </w:r>
            <w:r w:rsidR="00962F24">
              <w:rPr>
                <w:rFonts w:ascii="Calibri Light" w:hAnsi="Calibri Light" w:cs="Calibri Light"/>
                <w:color w:val="000000"/>
                <w:sz w:val="21"/>
                <w:szCs w:val="21"/>
              </w:rPr>
              <w:t xml:space="preserve">h </w:t>
            </w:r>
            <w:r w:rsidRPr="00D50993">
              <w:rPr>
                <w:rFonts w:ascii="Calibri Light" w:hAnsi="Calibri Light" w:cs="Calibri Light"/>
                <w:color w:val="000000"/>
                <w:sz w:val="21"/>
                <w:szCs w:val="21"/>
              </w:rPr>
              <w:t>System and is further along in its work because we engaged them earlier in the year.</w:t>
            </w:r>
          </w:p>
          <w:p w14:paraId="5EDEE5F5" w14:textId="7526E750" w:rsidR="00D50993" w:rsidRPr="00D50993" w:rsidRDefault="00D50993" w:rsidP="00D50993">
            <w:pPr>
              <w:numPr>
                <w:ilvl w:val="0"/>
                <w:numId w:val="17"/>
              </w:numPr>
              <w:rPr>
                <w:rFonts w:ascii="Calibri Light" w:hAnsi="Calibri Light" w:cs="Calibri Light"/>
                <w:color w:val="000000"/>
                <w:sz w:val="21"/>
                <w:szCs w:val="21"/>
              </w:rPr>
            </w:pPr>
            <w:r w:rsidRPr="00D50993">
              <w:rPr>
                <w:rFonts w:ascii="Calibri Light" w:hAnsi="Calibri Light" w:cs="Calibri Light"/>
                <w:color w:val="000000"/>
                <w:sz w:val="21"/>
                <w:szCs w:val="21"/>
              </w:rPr>
              <w:t xml:space="preserve">BRG’s recommendations will be reviewed by Dr. </w:t>
            </w:r>
            <w:proofErr w:type="spellStart"/>
            <w:r w:rsidRPr="00D50993">
              <w:rPr>
                <w:rFonts w:ascii="Calibri Light" w:hAnsi="Calibri Light" w:cs="Calibri Light"/>
                <w:color w:val="000000"/>
                <w:sz w:val="21"/>
                <w:szCs w:val="21"/>
              </w:rPr>
              <w:t>Callender</w:t>
            </w:r>
            <w:proofErr w:type="spellEnd"/>
            <w:r w:rsidRPr="00D50993">
              <w:rPr>
                <w:rFonts w:ascii="Calibri Light" w:hAnsi="Calibri Light" w:cs="Calibri Light"/>
                <w:color w:val="000000"/>
                <w:sz w:val="21"/>
                <w:szCs w:val="21"/>
              </w:rPr>
              <w:t xml:space="preserve"> and a steering committee during the second week of July, and from there, will make decisions about our focus, what we w</w:t>
            </w:r>
            <w:r w:rsidR="007D71EE">
              <w:rPr>
                <w:rFonts w:ascii="Calibri Light" w:hAnsi="Calibri Light" w:cs="Calibri Light"/>
                <w:color w:val="000000"/>
                <w:sz w:val="21"/>
                <w:szCs w:val="21"/>
              </w:rPr>
              <w:t xml:space="preserve">ill implement and how BRG will </w:t>
            </w:r>
            <w:r w:rsidRPr="00D50993">
              <w:rPr>
                <w:rFonts w:ascii="Calibri Light" w:hAnsi="Calibri Light" w:cs="Calibri Light"/>
                <w:color w:val="000000"/>
                <w:sz w:val="21"/>
                <w:szCs w:val="21"/>
              </w:rPr>
              <w:t>assist UTMB in implementing certain aspects of the resulting plan.</w:t>
            </w:r>
          </w:p>
          <w:p w14:paraId="2828DE8B" w14:textId="77777777" w:rsidR="00D50993" w:rsidRPr="00D50993" w:rsidRDefault="00D50993" w:rsidP="00D50993">
            <w:pPr>
              <w:numPr>
                <w:ilvl w:val="0"/>
                <w:numId w:val="17"/>
              </w:numPr>
              <w:rPr>
                <w:rFonts w:ascii="Calibri Light" w:hAnsi="Calibri Light" w:cs="Calibri Light"/>
                <w:color w:val="000000"/>
                <w:sz w:val="21"/>
                <w:szCs w:val="21"/>
              </w:rPr>
            </w:pPr>
            <w:r w:rsidRPr="00D50993">
              <w:rPr>
                <w:rFonts w:ascii="Calibri Light" w:hAnsi="Calibri Light" w:cs="Calibri Light"/>
                <w:color w:val="000000"/>
                <w:sz w:val="21"/>
                <w:szCs w:val="21"/>
              </w:rPr>
              <w:t>A similar review process by UTMB leaders will take place at the end of July, when we expect to receive Huron’s initial recommendations.</w:t>
            </w:r>
          </w:p>
          <w:p w14:paraId="42EE3B9C" w14:textId="77777777" w:rsidR="00D50993" w:rsidRPr="00D50993" w:rsidRDefault="00D50993" w:rsidP="00D50993">
            <w:pPr>
              <w:numPr>
                <w:ilvl w:val="0"/>
                <w:numId w:val="17"/>
              </w:numPr>
              <w:rPr>
                <w:rFonts w:ascii="Calibri Light" w:hAnsi="Calibri Light" w:cs="Calibri Light"/>
                <w:i/>
                <w:color w:val="000000"/>
                <w:sz w:val="21"/>
                <w:szCs w:val="21"/>
              </w:rPr>
            </w:pPr>
            <w:r w:rsidRPr="00D50993">
              <w:rPr>
                <w:rFonts w:ascii="Calibri Light" w:hAnsi="Calibri Light" w:cs="Calibri Light"/>
                <w:i/>
                <w:iCs/>
                <w:color w:val="000000"/>
                <w:sz w:val="21"/>
                <w:szCs w:val="21"/>
              </w:rPr>
              <w:t>Note: Because of the holiday, no video was produced the week of July 4. The next Pulse video should be available July 17.</w:t>
            </w:r>
          </w:p>
          <w:p w14:paraId="4871A397" w14:textId="77777777" w:rsidR="005637B8" w:rsidRDefault="005637B8" w:rsidP="004C290D">
            <w:pPr>
              <w:shd w:val="clear" w:color="auto" w:fill="FFFFFF"/>
              <w:spacing w:line="253" w:lineRule="atLeast"/>
              <w:ind w:right="18"/>
              <w:rPr>
                <w:rFonts w:ascii="Calibri Light" w:hAnsi="Calibri Light" w:cs="Calibri Light"/>
                <w:color w:val="000000"/>
                <w:sz w:val="21"/>
                <w:szCs w:val="21"/>
              </w:rPr>
            </w:pPr>
          </w:p>
          <w:p w14:paraId="713C2539" w14:textId="3B21A555" w:rsidR="00D50993" w:rsidRPr="005D163A" w:rsidRDefault="00D50993" w:rsidP="00D50993">
            <w:pPr>
              <w:rPr>
                <w:rFonts w:asciiTheme="majorHAnsi" w:hAnsiTheme="majorHAnsi" w:cs="Arial"/>
                <w:b/>
                <w:color w:val="000000" w:themeColor="text1"/>
                <w:szCs w:val="20"/>
              </w:rPr>
            </w:pPr>
            <w:r>
              <w:rPr>
                <w:rFonts w:asciiTheme="majorHAnsi" w:hAnsiTheme="majorHAnsi" w:cs="Arial"/>
                <w:b/>
                <w:color w:val="000000" w:themeColor="text1"/>
                <w:szCs w:val="20"/>
              </w:rPr>
              <w:t>Employee Advisory Council (EAC) election begins July 9:</w:t>
            </w:r>
            <w:r w:rsidRPr="005D163A">
              <w:rPr>
                <w:rFonts w:asciiTheme="majorHAnsi" w:hAnsiTheme="majorHAnsi" w:cs="Arial"/>
                <w:b/>
                <w:color w:val="000000" w:themeColor="text1"/>
                <w:szCs w:val="20"/>
              </w:rPr>
              <w:t xml:space="preserve"> </w:t>
            </w:r>
          </w:p>
          <w:p w14:paraId="49A55508" w14:textId="77777777" w:rsidR="00D50993" w:rsidRPr="00D50993" w:rsidRDefault="00D50993" w:rsidP="00D50993">
            <w:pPr>
              <w:rPr>
                <w:rFonts w:ascii="Calibri Light" w:hAnsi="Calibri Light" w:cs="Calibri Light"/>
                <w:sz w:val="21"/>
                <w:szCs w:val="21"/>
              </w:rPr>
            </w:pPr>
            <w:r w:rsidRPr="00D50993">
              <w:rPr>
                <w:rFonts w:ascii="Calibri Light" w:hAnsi="Calibri Light" w:cs="Calibri Light"/>
                <w:color w:val="000000"/>
                <w:sz w:val="21"/>
                <w:szCs w:val="21"/>
              </w:rPr>
              <w:t>UTMB’s Employee Advisory Council received seven nominations for this year’s officer election, which will be held using a secure, online-voting process beginning July 9 at 8 a.m. and ending on July 20 at 5 p.m.  Each member of the university staff (including Classified and Administrative &amp; Professional but excluding faculty) will have one vote for a representative from their primary area of employment. For the purposes of representation on the council, the university is grouped in four segments: Academic Enterprise, Correctional Managed Care, Hospitals and Clinics, and Institutional Support. Information on all candidates can be found on the EAC website at </w:t>
            </w:r>
            <w:hyperlink r:id="rId14" w:history="1">
              <w:r w:rsidRPr="00084556">
                <w:rPr>
                  <w:rStyle w:val="Hyperlink"/>
                  <w:rFonts w:ascii="Calibri Light" w:hAnsi="Calibri Light" w:cs="Calibri Light"/>
                  <w:color w:val="FF0000"/>
                  <w:sz w:val="21"/>
                  <w:szCs w:val="21"/>
                </w:rPr>
                <w:t>www.utmb.edu/eac</w:t>
              </w:r>
            </w:hyperlink>
            <w:r w:rsidRPr="00D50993">
              <w:rPr>
                <w:rFonts w:ascii="Calibri Light" w:hAnsi="Calibri Light" w:cs="Calibri Light"/>
                <w:color w:val="000000"/>
                <w:sz w:val="21"/>
                <w:szCs w:val="21"/>
              </w:rPr>
              <w:t>. To cast your vote, please log on to </w:t>
            </w:r>
            <w:hyperlink r:id="rId15" w:history="1">
              <w:r w:rsidRPr="00084556">
                <w:rPr>
                  <w:rStyle w:val="Hyperlink"/>
                  <w:rFonts w:ascii="Calibri Light" w:hAnsi="Calibri Light" w:cs="Calibri Light"/>
                  <w:color w:val="FF0000"/>
                  <w:sz w:val="21"/>
                  <w:szCs w:val="21"/>
                </w:rPr>
                <w:t>www.utmb.edu/olt</w:t>
              </w:r>
            </w:hyperlink>
            <w:r w:rsidRPr="00D50993">
              <w:rPr>
                <w:rFonts w:ascii="Calibri Light" w:hAnsi="Calibri Light" w:cs="Calibri Light"/>
                <w:color w:val="000000"/>
                <w:sz w:val="21"/>
                <w:szCs w:val="21"/>
              </w:rPr>
              <w:t>. Election results will be announced the week of July 23.</w:t>
            </w:r>
          </w:p>
          <w:p w14:paraId="33D5B003" w14:textId="632258D2" w:rsidR="00D50993" w:rsidRPr="004C290D" w:rsidRDefault="00D50993" w:rsidP="004C290D">
            <w:pPr>
              <w:shd w:val="clear" w:color="auto" w:fill="FFFFFF"/>
              <w:spacing w:line="253" w:lineRule="atLeast"/>
              <w:ind w:right="18"/>
              <w:rPr>
                <w:rFonts w:ascii="Calibri Light" w:hAnsi="Calibri Light" w:cs="Calibri Light"/>
                <w:color w:val="000000"/>
                <w:sz w:val="21"/>
                <w:szCs w:val="21"/>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5494E895" w14:textId="77777777" w:rsidR="004C290D" w:rsidRDefault="004C290D" w:rsidP="004C290D">
            <w:pPr>
              <w:rPr>
                <w:rFonts w:ascii="Calibri Light" w:hAnsi="Calibri Light" w:cs="Calibri Light"/>
                <w:color w:val="000000"/>
                <w:sz w:val="21"/>
                <w:szCs w:val="21"/>
              </w:rPr>
            </w:pPr>
          </w:p>
          <w:p w14:paraId="21188E6A" w14:textId="1B401F89" w:rsidR="004C290D" w:rsidRPr="005D163A" w:rsidRDefault="001F40FD" w:rsidP="004C290D">
            <w:pPr>
              <w:rPr>
                <w:rFonts w:asciiTheme="majorHAnsi" w:hAnsiTheme="majorHAnsi" w:cs="Arial"/>
                <w:b/>
                <w:color w:val="000000" w:themeColor="text1"/>
                <w:szCs w:val="20"/>
              </w:rPr>
            </w:pPr>
            <w:r>
              <w:rPr>
                <w:rFonts w:asciiTheme="majorHAnsi" w:hAnsiTheme="majorHAnsi" w:cs="Arial"/>
                <w:b/>
                <w:color w:val="000000" w:themeColor="text1"/>
                <w:szCs w:val="20"/>
              </w:rPr>
              <w:t>Apply to become a member of UTMB’s Institutional Ethics Committee (IEC)</w:t>
            </w:r>
            <w:r w:rsidR="004C290D">
              <w:rPr>
                <w:rFonts w:asciiTheme="majorHAnsi" w:hAnsiTheme="majorHAnsi" w:cs="Arial"/>
                <w:b/>
                <w:color w:val="000000" w:themeColor="text1"/>
                <w:szCs w:val="20"/>
              </w:rPr>
              <w:t>:</w:t>
            </w:r>
            <w:r w:rsidR="004C290D" w:rsidRPr="005D163A">
              <w:rPr>
                <w:rFonts w:asciiTheme="majorHAnsi" w:hAnsiTheme="majorHAnsi" w:cs="Arial"/>
                <w:b/>
                <w:color w:val="000000" w:themeColor="text1"/>
                <w:szCs w:val="20"/>
              </w:rPr>
              <w:t xml:space="preserve"> </w:t>
            </w:r>
          </w:p>
          <w:p w14:paraId="11942FDB" w14:textId="77777777" w:rsidR="00D50993" w:rsidRPr="00D50993" w:rsidRDefault="00D50993" w:rsidP="00D50993">
            <w:pPr>
              <w:rPr>
                <w:rFonts w:ascii="Calibri Light" w:hAnsi="Calibri Light" w:cs="Calibri Light"/>
                <w:sz w:val="21"/>
                <w:szCs w:val="21"/>
              </w:rPr>
            </w:pPr>
            <w:r w:rsidRPr="00D50993">
              <w:rPr>
                <w:rFonts w:ascii="Calibri Light" w:hAnsi="Calibri Light" w:cs="Calibri Light"/>
                <w:color w:val="000000"/>
                <w:sz w:val="21"/>
                <w:szCs w:val="21"/>
              </w:rPr>
              <w:t>The Institutional Ethics Committee is an integral part of the UTMB Health System Ethics Program that provides comprehensive, integrated ethics support for the institution. The IEC is a multidisciplinary forum for the analysis and discussion of ethical issues and standards affecting patient care, professional education and community interests in service to the organizational mission of improving health. This mission is fulfilled through the committee’s advisory, educational, policy management and service functions. Anyone at UTMB may submit an application for membership. The committee is seeking individuals who have an interest in and commitment to ethical discourse, diversity of perspective, and respect for divergent opinions. The term of commitment for new members is one year for students and three years for faculty, staff, volunteers and community members. Meetings occur monthly, with the possibility of emergent meetings on an ad hoc basis should the need arise. Apply at</w:t>
            </w:r>
            <w:r w:rsidRPr="00D50993">
              <w:rPr>
                <w:rStyle w:val="apple-converted-space"/>
                <w:rFonts w:ascii="Calibri Light" w:hAnsi="Calibri Light" w:cs="Calibri Light"/>
                <w:color w:val="000000"/>
                <w:sz w:val="21"/>
                <w:szCs w:val="21"/>
              </w:rPr>
              <w:t> </w:t>
            </w:r>
            <w:hyperlink r:id="rId20" w:history="1">
              <w:r w:rsidRPr="00084556">
                <w:rPr>
                  <w:rStyle w:val="Hyperlink"/>
                  <w:rFonts w:ascii="Calibri Light" w:hAnsi="Calibri Light" w:cs="Calibri Light"/>
                  <w:color w:val="FF0000"/>
                  <w:sz w:val="21"/>
                  <w:szCs w:val="21"/>
                </w:rPr>
                <w:t>http://intranet.utmb.edu/healthsystem/Patients/submissions.asp</w:t>
              </w:r>
            </w:hyperlink>
            <w:r w:rsidRPr="00084556">
              <w:rPr>
                <w:rFonts w:ascii="Calibri Light" w:hAnsi="Calibri Light" w:cs="Calibri Light"/>
                <w:color w:val="FF0000"/>
                <w:sz w:val="21"/>
                <w:szCs w:val="21"/>
              </w:rPr>
              <w:t xml:space="preserve">. </w:t>
            </w:r>
            <w:r w:rsidRPr="00D50993">
              <w:rPr>
                <w:rFonts w:ascii="Calibri Light" w:hAnsi="Calibri Light" w:cs="Calibri Light"/>
                <w:color w:val="000000"/>
                <w:sz w:val="21"/>
                <w:szCs w:val="21"/>
              </w:rPr>
              <w:t>The application deadline is July 20.</w:t>
            </w:r>
          </w:p>
          <w:p w14:paraId="1679D149" w14:textId="77777777" w:rsidR="00E60930" w:rsidRDefault="00E60930" w:rsidP="004C290D">
            <w:pPr>
              <w:rPr>
                <w:rFonts w:ascii="Calibri" w:hAnsi="Calibri" w:cs="Calibri"/>
                <w:color w:val="000000"/>
              </w:rPr>
            </w:pPr>
          </w:p>
          <w:p w14:paraId="4BD1DA5C" w14:textId="42A0E783" w:rsidR="001F40FD" w:rsidRPr="005D163A" w:rsidRDefault="001F40FD" w:rsidP="001F40FD">
            <w:pPr>
              <w:rPr>
                <w:rFonts w:asciiTheme="majorHAnsi" w:hAnsiTheme="majorHAnsi" w:cs="Arial"/>
                <w:b/>
                <w:color w:val="000000" w:themeColor="text1"/>
                <w:szCs w:val="20"/>
              </w:rPr>
            </w:pPr>
            <w:r>
              <w:rPr>
                <w:rFonts w:asciiTheme="majorHAnsi" w:hAnsiTheme="majorHAnsi" w:cs="Arial"/>
                <w:b/>
                <w:color w:val="000000" w:themeColor="text1"/>
                <w:szCs w:val="20"/>
              </w:rPr>
              <w:t>Space Survey—deadline July 31:</w:t>
            </w:r>
            <w:r w:rsidRPr="005D163A">
              <w:rPr>
                <w:rFonts w:asciiTheme="majorHAnsi" w:hAnsiTheme="majorHAnsi" w:cs="Arial"/>
                <w:b/>
                <w:color w:val="000000" w:themeColor="text1"/>
                <w:szCs w:val="20"/>
              </w:rPr>
              <w:t xml:space="preserve"> </w:t>
            </w:r>
          </w:p>
          <w:p w14:paraId="5A5EA1B4" w14:textId="5CA59F06" w:rsidR="00E60930" w:rsidRDefault="001F40FD" w:rsidP="004C290D">
            <w:pPr>
              <w:rPr>
                <w:rFonts w:ascii="Calibri Light" w:hAnsi="Calibri Light" w:cs="Calibri Light"/>
                <w:color w:val="000000"/>
                <w:sz w:val="21"/>
                <w:szCs w:val="21"/>
              </w:rPr>
            </w:pPr>
            <w:r w:rsidRPr="001F40FD">
              <w:rPr>
                <w:rFonts w:ascii="Calibri Light" w:hAnsi="Calibri Light" w:cs="Calibri Light"/>
                <w:color w:val="000000"/>
                <w:sz w:val="21"/>
                <w:szCs w:val="21"/>
              </w:rPr>
              <w:t xml:space="preserve">To support effective planning and management of UTMB’s space and to meet state and federal requirements, the Facilities Portfolio Management department is conducting UTMB’s Annual Space Survey. The survey of UTMB’s more than 28,000 rooms is used for internal and external reporting, as well as to determine space allocations. The survey remains a vital part of our overall strategic planning and operational effectiveness. Your departmental representative is responsible for updating all space usage in the </w:t>
            </w:r>
            <w:proofErr w:type="spellStart"/>
            <w:r w:rsidRPr="001F40FD">
              <w:rPr>
                <w:rFonts w:ascii="Calibri Light" w:hAnsi="Calibri Light" w:cs="Calibri Light"/>
                <w:color w:val="000000"/>
                <w:sz w:val="21"/>
                <w:szCs w:val="21"/>
              </w:rPr>
              <w:t>Archibus</w:t>
            </w:r>
            <w:proofErr w:type="spellEnd"/>
            <w:r w:rsidRPr="001F40FD">
              <w:rPr>
                <w:rFonts w:ascii="Calibri Light" w:hAnsi="Calibri Light" w:cs="Calibri Light"/>
                <w:color w:val="000000"/>
                <w:sz w:val="21"/>
                <w:szCs w:val="21"/>
              </w:rPr>
              <w:t xml:space="preserve"> software system by July 31. For questions, please contact Sarah Gardescu, Facilities information manager, at </w:t>
            </w:r>
            <w:hyperlink r:id="rId21" w:history="1">
              <w:r w:rsidRPr="007D71EE">
                <w:rPr>
                  <w:rStyle w:val="Hyperlink"/>
                  <w:rFonts w:ascii="Calibri Light" w:hAnsi="Calibri Light" w:cs="Calibri Light"/>
                  <w:color w:val="FF0000"/>
                  <w:sz w:val="21"/>
                  <w:szCs w:val="21"/>
                </w:rPr>
                <w:t>sagardes@utmb.edu</w:t>
              </w:r>
            </w:hyperlink>
            <w:r w:rsidRPr="001F40FD">
              <w:rPr>
                <w:rFonts w:ascii="Calibri Light" w:hAnsi="Calibri Light" w:cs="Calibri Light"/>
                <w:color w:val="000000"/>
                <w:sz w:val="21"/>
                <w:szCs w:val="21"/>
              </w:rPr>
              <w:t>.</w:t>
            </w:r>
          </w:p>
          <w:p w14:paraId="7C30D6B7" w14:textId="77777777" w:rsidR="001F40FD" w:rsidRDefault="001F40FD" w:rsidP="004C290D">
            <w:pPr>
              <w:rPr>
                <w:rFonts w:ascii="Calibri Light" w:hAnsi="Calibri Light" w:cs="Calibri Light"/>
                <w:color w:val="000000"/>
                <w:sz w:val="21"/>
                <w:szCs w:val="21"/>
              </w:rPr>
            </w:pPr>
          </w:p>
          <w:p w14:paraId="326B1660" w14:textId="77777777" w:rsidR="001F40FD" w:rsidRPr="005D163A" w:rsidRDefault="001F40FD" w:rsidP="001F40FD">
            <w:pPr>
              <w:rPr>
                <w:rFonts w:asciiTheme="majorHAnsi" w:hAnsiTheme="majorHAnsi" w:cs="Arial"/>
                <w:b/>
                <w:color w:val="000000" w:themeColor="text1"/>
                <w:szCs w:val="20"/>
              </w:rPr>
            </w:pPr>
            <w:r>
              <w:rPr>
                <w:rFonts w:asciiTheme="majorHAnsi" w:hAnsiTheme="majorHAnsi" w:cs="Arial"/>
                <w:b/>
                <w:color w:val="000000" w:themeColor="text1"/>
                <w:szCs w:val="20"/>
              </w:rPr>
              <w:t>Congratulations to Dr. Christine Baker:</w:t>
            </w:r>
            <w:r w:rsidRPr="005D163A">
              <w:rPr>
                <w:rFonts w:asciiTheme="majorHAnsi" w:hAnsiTheme="majorHAnsi" w:cs="Arial"/>
                <w:b/>
                <w:color w:val="000000" w:themeColor="text1"/>
                <w:szCs w:val="20"/>
              </w:rPr>
              <w:t xml:space="preserve"> </w:t>
            </w:r>
          </w:p>
          <w:p w14:paraId="51462EE0" w14:textId="77777777" w:rsidR="001F40FD" w:rsidRPr="001F40FD" w:rsidRDefault="001F40FD" w:rsidP="001F40FD">
            <w:pPr>
              <w:rPr>
                <w:rFonts w:ascii="Calibri Light" w:hAnsi="Calibri Light" w:cs="Calibri Light"/>
                <w:sz w:val="21"/>
                <w:szCs w:val="21"/>
              </w:rPr>
            </w:pPr>
            <w:r w:rsidRPr="001F40FD">
              <w:rPr>
                <w:rFonts w:ascii="Calibri Light" w:hAnsi="Calibri Light" w:cs="Calibri Light"/>
                <w:color w:val="000000"/>
                <w:sz w:val="21"/>
                <w:szCs w:val="21"/>
              </w:rPr>
              <w:t>Dr. Christine Baker has been appointed associate dean for Academic and Student Affairs in the School of Health Professions. Dr. Baker, who joined UTMB in 1986, is a professor in the Department of Physical Therapy and holds the Ruby Decker Professorship in Physical Therapy. The recipient of numerous teaching awards, including the University of Texas System Regents’ Outstanding Teaching Award, Dr. Baker has been designing and delivering distance education for more than a decade and has served as a site visitor and team leader for the Commission on Accreditation in Physical Therapy Education (CAPTE).</w:t>
            </w:r>
          </w:p>
          <w:p w14:paraId="3881335B" w14:textId="77777777" w:rsidR="001F40FD" w:rsidRPr="001F40FD" w:rsidRDefault="001F40FD" w:rsidP="004C290D">
            <w:pPr>
              <w:rPr>
                <w:rFonts w:ascii="Calibri Light" w:hAnsi="Calibri Light" w:cs="Calibri Light"/>
                <w:sz w:val="21"/>
                <w:szCs w:val="21"/>
              </w:rPr>
            </w:pPr>
          </w:p>
          <w:p w14:paraId="7B6E5B77" w14:textId="77777777" w:rsidR="00E60930" w:rsidRDefault="00E60930" w:rsidP="004C290D">
            <w:pPr>
              <w:rPr>
                <w:rFonts w:ascii="Calibri" w:hAnsi="Calibri" w:cs="Calibri"/>
                <w:color w:val="000000"/>
              </w:rPr>
            </w:pPr>
          </w:p>
          <w:p w14:paraId="56C9BD37" w14:textId="4E44C7C1" w:rsidR="00E60930" w:rsidRPr="00E60930" w:rsidRDefault="00EB52BC" w:rsidP="00E60930">
            <w:pPr>
              <w:rPr>
                <w:rFonts w:asciiTheme="majorHAnsi" w:hAnsiTheme="majorHAnsi" w:cs="Arial"/>
                <w:b/>
                <w:color w:val="FF0000"/>
                <w:sz w:val="20"/>
                <w:szCs w:val="20"/>
              </w:rPr>
            </w:pPr>
            <w:r>
              <w:rPr>
                <w:rFonts w:asciiTheme="majorHAnsi" w:hAnsiTheme="majorHAnsi"/>
                <w:noProof/>
                <w:sz w:val="20"/>
              </w:rPr>
              <w:drawing>
                <wp:anchor distT="0" distB="0" distL="114300" distR="114300" simplePos="0" relativeHeight="251763200" behindDoc="0" locked="0" layoutInCell="1" allowOverlap="1" wp14:anchorId="5B810580" wp14:editId="7E4523CF">
                  <wp:simplePos x="0" y="0"/>
                  <wp:positionH relativeFrom="column">
                    <wp:posOffset>-7939</wp:posOffset>
                  </wp:positionH>
                  <wp:positionV relativeFrom="paragraph">
                    <wp:posOffset>155730</wp:posOffset>
                  </wp:positionV>
                  <wp:extent cx="195444" cy="1911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196983" cy="192606"/>
                          </a:xfrm>
                          <a:prstGeom prst="rect">
                            <a:avLst/>
                          </a:prstGeom>
                        </pic:spPr>
                      </pic:pic>
                    </a:graphicData>
                  </a:graphic>
                  <wp14:sizeRelH relativeFrom="page">
                    <wp14:pctWidth>0</wp14:pctWidth>
                  </wp14:sizeRelH>
                  <wp14:sizeRelV relativeFrom="page">
                    <wp14:pctHeight>0</wp14:pctHeight>
                  </wp14:sizeRelV>
                </wp:anchor>
              </w:drawing>
            </w:r>
            <w:r w:rsidR="00E60930" w:rsidRPr="00E60930">
              <w:rPr>
                <w:rFonts w:asciiTheme="majorHAnsi" w:hAnsiTheme="majorHAnsi" w:cs="Arial"/>
                <w:b/>
                <w:color w:val="FF0000"/>
                <w:sz w:val="20"/>
                <w:szCs w:val="20"/>
              </w:rPr>
              <w:t>COMING SOON</w:t>
            </w:r>
          </w:p>
          <w:p w14:paraId="50F425CC" w14:textId="48610D37" w:rsidR="00E60930" w:rsidRPr="005D163A" w:rsidRDefault="00E60930" w:rsidP="00E60930">
            <w:pPr>
              <w:rPr>
                <w:rFonts w:asciiTheme="majorHAnsi" w:hAnsiTheme="majorHAnsi" w:cs="Arial"/>
                <w:b/>
                <w:color w:val="000000" w:themeColor="text1"/>
                <w:szCs w:val="20"/>
              </w:rPr>
            </w:pPr>
            <w:r>
              <w:rPr>
                <w:rFonts w:asciiTheme="majorHAnsi" w:hAnsiTheme="majorHAnsi" w:cs="Arial"/>
                <w:b/>
                <w:color w:val="000000" w:themeColor="text1"/>
                <w:szCs w:val="20"/>
              </w:rPr>
              <w:t xml:space="preserve">        </w:t>
            </w:r>
            <w:proofErr w:type="spellStart"/>
            <w:r w:rsidR="004F751D">
              <w:rPr>
                <w:rFonts w:asciiTheme="majorHAnsi" w:hAnsiTheme="majorHAnsi" w:cs="Arial"/>
                <w:b/>
                <w:color w:val="000000" w:themeColor="text1"/>
                <w:szCs w:val="20"/>
              </w:rPr>
              <w:t>ePerformance</w:t>
            </w:r>
            <w:proofErr w:type="spellEnd"/>
            <w:r w:rsidR="004F751D">
              <w:rPr>
                <w:rFonts w:asciiTheme="majorHAnsi" w:hAnsiTheme="majorHAnsi" w:cs="Arial"/>
                <w:b/>
                <w:color w:val="000000" w:themeColor="text1"/>
                <w:szCs w:val="20"/>
              </w:rPr>
              <w:t xml:space="preserve"> </w:t>
            </w:r>
            <w:r w:rsidR="00EB52BC">
              <w:rPr>
                <w:rFonts w:asciiTheme="majorHAnsi" w:hAnsiTheme="majorHAnsi" w:cs="Arial"/>
                <w:b/>
                <w:color w:val="000000" w:themeColor="text1"/>
                <w:szCs w:val="20"/>
              </w:rPr>
              <w:t>system</w:t>
            </w:r>
            <w:r>
              <w:rPr>
                <w:rFonts w:asciiTheme="majorHAnsi" w:hAnsiTheme="majorHAnsi" w:cs="Arial"/>
                <w:b/>
                <w:color w:val="000000" w:themeColor="text1"/>
                <w:szCs w:val="20"/>
              </w:rPr>
              <w:t>:</w:t>
            </w:r>
            <w:r w:rsidRPr="005D163A">
              <w:rPr>
                <w:rFonts w:asciiTheme="majorHAnsi" w:hAnsiTheme="majorHAnsi" w:cs="Arial"/>
                <w:b/>
                <w:color w:val="000000" w:themeColor="text1"/>
                <w:szCs w:val="20"/>
              </w:rPr>
              <w:t xml:space="preserve"> </w:t>
            </w:r>
          </w:p>
          <w:p w14:paraId="11C67489" w14:textId="60869EF6" w:rsidR="00EB52BC" w:rsidRPr="00EB52BC" w:rsidRDefault="00EB52BC" w:rsidP="00EB52BC">
            <w:pPr>
              <w:rPr>
                <w:rFonts w:ascii="Calibri Light" w:hAnsi="Calibri Light" w:cs="Calibri Light"/>
                <w:color w:val="000000"/>
                <w:sz w:val="21"/>
                <w:szCs w:val="21"/>
              </w:rPr>
            </w:pPr>
            <w:r w:rsidRPr="00EB52BC">
              <w:rPr>
                <w:rFonts w:ascii="Calibri Light" w:hAnsi="Calibri Light" w:cs="Calibri Light"/>
                <w:color w:val="000000"/>
                <w:sz w:val="21"/>
                <w:szCs w:val="21"/>
              </w:rPr>
              <w:t xml:space="preserve">UTMB is working to improve the annual evaluation process and </w:t>
            </w:r>
            <w:proofErr w:type="spellStart"/>
            <w:r w:rsidRPr="00EB52BC">
              <w:rPr>
                <w:rFonts w:ascii="Calibri Light" w:hAnsi="Calibri Light" w:cs="Calibri Light"/>
                <w:color w:val="000000"/>
                <w:sz w:val="21"/>
                <w:szCs w:val="21"/>
              </w:rPr>
              <w:t>ePerformance</w:t>
            </w:r>
            <w:proofErr w:type="spellEnd"/>
            <w:r w:rsidRPr="00EB52BC">
              <w:rPr>
                <w:rFonts w:ascii="Calibri Light" w:hAnsi="Calibri Light" w:cs="Calibri Light"/>
                <w:color w:val="000000"/>
                <w:sz w:val="21"/>
                <w:szCs w:val="21"/>
              </w:rPr>
              <w:t xml:space="preserve"> system for the FY18 performance review cycle. It is anticipated that the improved system will be available in mid-July. Training will be provided. Evaluations must be completed for all employees hired on or before Feb. 28, 2018. To ensure all CMC departments meet the institutional deadline for completing annual evaluations, the following deadlines have been established</w:t>
            </w:r>
            <w:r w:rsidR="007D71EE">
              <w:rPr>
                <w:rFonts w:ascii="Calibri Light" w:hAnsi="Calibri Light" w:cs="Calibri Light"/>
                <w:color w:val="000000"/>
                <w:sz w:val="21"/>
                <w:szCs w:val="21"/>
              </w:rPr>
              <w:t>:</w:t>
            </w:r>
          </w:p>
          <w:p w14:paraId="05716E4F" w14:textId="47E28243" w:rsidR="00EB52BC" w:rsidRPr="00EB52BC" w:rsidRDefault="00EB52BC" w:rsidP="00EB52BC">
            <w:pPr>
              <w:pStyle w:val="ListParagraph"/>
              <w:numPr>
                <w:ilvl w:val="0"/>
                <w:numId w:val="19"/>
              </w:numPr>
              <w:rPr>
                <w:rFonts w:ascii="Calibri Light" w:hAnsi="Calibri Light" w:cs="Calibri Light"/>
                <w:color w:val="000000"/>
                <w:sz w:val="21"/>
                <w:szCs w:val="21"/>
              </w:rPr>
            </w:pPr>
            <w:r w:rsidRPr="00EB52BC">
              <w:rPr>
                <w:rFonts w:ascii="Calibri Light" w:hAnsi="Calibri Light" w:cs="Calibri Light"/>
                <w:color w:val="000000"/>
                <w:sz w:val="21"/>
                <w:szCs w:val="21"/>
              </w:rPr>
              <w:t>All FY1</w:t>
            </w:r>
            <w:r>
              <w:rPr>
                <w:rFonts w:ascii="Calibri Light" w:hAnsi="Calibri Light" w:cs="Calibri Light"/>
                <w:color w:val="000000"/>
                <w:sz w:val="21"/>
                <w:szCs w:val="21"/>
              </w:rPr>
              <w:t>8</w:t>
            </w:r>
            <w:r w:rsidRPr="00EB52BC">
              <w:rPr>
                <w:rFonts w:ascii="Calibri Light" w:hAnsi="Calibri Light" w:cs="Calibri Light"/>
                <w:color w:val="000000"/>
                <w:sz w:val="21"/>
                <w:szCs w:val="21"/>
              </w:rPr>
              <w:t xml:space="preserve"> Key Performance Goals, Technical Competencies and My Road Ahead must be loaded and saved in </w:t>
            </w:r>
            <w:proofErr w:type="spellStart"/>
            <w:r w:rsidRPr="00EB52BC">
              <w:rPr>
                <w:rFonts w:ascii="Calibri Light" w:hAnsi="Calibri Light" w:cs="Calibri Light"/>
                <w:color w:val="000000"/>
                <w:sz w:val="21"/>
                <w:szCs w:val="21"/>
              </w:rPr>
              <w:t>ePerformance</w:t>
            </w:r>
            <w:proofErr w:type="spellEnd"/>
            <w:r w:rsidRPr="00EB52BC">
              <w:rPr>
                <w:rFonts w:ascii="Calibri Light" w:hAnsi="Calibri Light" w:cs="Calibri Light"/>
                <w:color w:val="000000"/>
                <w:sz w:val="21"/>
                <w:szCs w:val="21"/>
              </w:rPr>
              <w:t xml:space="preserve"> no later than </w:t>
            </w:r>
            <w:r w:rsidRPr="007D71EE">
              <w:rPr>
                <w:rFonts w:ascii="Calibri Light" w:hAnsi="Calibri Light" w:cs="Calibri Light"/>
                <w:b/>
                <w:color w:val="000000"/>
                <w:sz w:val="21"/>
                <w:szCs w:val="21"/>
              </w:rPr>
              <w:t>Aug. 15, 2018</w:t>
            </w:r>
            <w:r w:rsidRPr="00EB52BC">
              <w:rPr>
                <w:rFonts w:ascii="Calibri Light" w:hAnsi="Calibri Light" w:cs="Calibri Light"/>
                <w:color w:val="000000"/>
                <w:sz w:val="21"/>
                <w:szCs w:val="21"/>
              </w:rPr>
              <w:t>.</w:t>
            </w:r>
          </w:p>
          <w:p w14:paraId="6BA18B90" w14:textId="0D1AF05E" w:rsidR="00EB52BC" w:rsidRPr="00EB52BC" w:rsidRDefault="00EB52BC" w:rsidP="00EB52BC">
            <w:pPr>
              <w:pStyle w:val="ListParagraph"/>
              <w:numPr>
                <w:ilvl w:val="0"/>
                <w:numId w:val="19"/>
              </w:numPr>
              <w:rPr>
                <w:rFonts w:ascii="Calibri Light" w:hAnsi="Calibri Light" w:cs="Calibri Light"/>
                <w:color w:val="000000"/>
                <w:sz w:val="21"/>
                <w:szCs w:val="21"/>
              </w:rPr>
            </w:pPr>
            <w:r w:rsidRPr="00EB52BC">
              <w:rPr>
                <w:rFonts w:ascii="Calibri Light" w:hAnsi="Calibri Light" w:cs="Calibri Light"/>
                <w:color w:val="000000"/>
                <w:sz w:val="21"/>
                <w:szCs w:val="21"/>
              </w:rPr>
              <w:t xml:space="preserve">All employees must complete a </w:t>
            </w:r>
            <w:r>
              <w:rPr>
                <w:rFonts w:ascii="Calibri Light" w:hAnsi="Calibri Light" w:cs="Calibri Light"/>
                <w:color w:val="000000"/>
                <w:sz w:val="21"/>
                <w:szCs w:val="21"/>
              </w:rPr>
              <w:t xml:space="preserve">self-evaluation in </w:t>
            </w:r>
            <w:proofErr w:type="spellStart"/>
            <w:r>
              <w:rPr>
                <w:rFonts w:ascii="Calibri Light" w:hAnsi="Calibri Light" w:cs="Calibri Light"/>
                <w:color w:val="000000"/>
                <w:sz w:val="21"/>
                <w:szCs w:val="21"/>
              </w:rPr>
              <w:t>ePerformance</w:t>
            </w:r>
            <w:proofErr w:type="spellEnd"/>
            <w:r w:rsidRPr="00EB52BC">
              <w:rPr>
                <w:rFonts w:ascii="Calibri Light" w:hAnsi="Calibri Light" w:cs="Calibri Light"/>
                <w:color w:val="000000"/>
                <w:sz w:val="21"/>
                <w:szCs w:val="21"/>
              </w:rPr>
              <w:t xml:space="preserve"> no later than </w:t>
            </w:r>
            <w:r w:rsidRPr="007D71EE">
              <w:rPr>
                <w:rFonts w:ascii="Calibri Light" w:hAnsi="Calibri Light" w:cs="Calibri Light"/>
                <w:b/>
                <w:color w:val="000000"/>
                <w:sz w:val="21"/>
                <w:szCs w:val="21"/>
              </w:rPr>
              <w:t>Sept. 15, 2018</w:t>
            </w:r>
            <w:r w:rsidRPr="00EB52BC">
              <w:rPr>
                <w:rFonts w:ascii="Calibri Light" w:hAnsi="Calibri Light" w:cs="Calibri Light"/>
                <w:color w:val="000000"/>
                <w:sz w:val="21"/>
                <w:szCs w:val="21"/>
              </w:rPr>
              <w:t>.</w:t>
            </w:r>
          </w:p>
          <w:p w14:paraId="7976DDB8" w14:textId="18030291" w:rsidR="00E60930" w:rsidRPr="00EB52BC" w:rsidRDefault="00EB52BC" w:rsidP="00E60930">
            <w:pPr>
              <w:pStyle w:val="ListParagraph"/>
              <w:numPr>
                <w:ilvl w:val="0"/>
                <w:numId w:val="19"/>
              </w:numPr>
              <w:rPr>
                <w:rFonts w:ascii="Calibri Light" w:hAnsi="Calibri Light" w:cs="Calibri Light"/>
                <w:color w:val="000000"/>
                <w:sz w:val="21"/>
                <w:szCs w:val="21"/>
              </w:rPr>
            </w:pPr>
            <w:r w:rsidRPr="00EB52BC">
              <w:rPr>
                <w:rFonts w:ascii="Calibri Light" w:hAnsi="Calibri Light" w:cs="Calibri Light"/>
                <w:color w:val="000000"/>
                <w:sz w:val="21"/>
                <w:szCs w:val="21"/>
              </w:rPr>
              <w:t>All managers must meet with staff to review performance documents and complete the eva</w:t>
            </w:r>
            <w:r>
              <w:rPr>
                <w:rFonts w:ascii="Calibri Light" w:hAnsi="Calibri Light" w:cs="Calibri Light"/>
                <w:color w:val="000000"/>
                <w:sz w:val="21"/>
                <w:szCs w:val="21"/>
              </w:rPr>
              <w:t xml:space="preserve">luation process in </w:t>
            </w:r>
            <w:proofErr w:type="spellStart"/>
            <w:r>
              <w:rPr>
                <w:rFonts w:ascii="Calibri Light" w:hAnsi="Calibri Light" w:cs="Calibri Light"/>
                <w:color w:val="000000"/>
                <w:sz w:val="21"/>
                <w:szCs w:val="21"/>
              </w:rPr>
              <w:t>ePerformance</w:t>
            </w:r>
            <w:proofErr w:type="spellEnd"/>
            <w:r w:rsidRPr="00EB52BC">
              <w:rPr>
                <w:rFonts w:ascii="Calibri Light" w:hAnsi="Calibri Light" w:cs="Calibri Light"/>
                <w:color w:val="000000"/>
                <w:sz w:val="21"/>
                <w:szCs w:val="21"/>
              </w:rPr>
              <w:t xml:space="preserve"> no later than </w:t>
            </w:r>
            <w:r w:rsidRPr="007D71EE">
              <w:rPr>
                <w:rFonts w:ascii="Calibri Light" w:hAnsi="Calibri Light" w:cs="Calibri Light"/>
                <w:b/>
                <w:color w:val="000000"/>
                <w:sz w:val="21"/>
                <w:szCs w:val="21"/>
              </w:rPr>
              <w:t>Oct. 15, 2018</w:t>
            </w:r>
            <w:r w:rsidRPr="00EB52BC">
              <w:rPr>
                <w:rFonts w:ascii="Calibri Light" w:hAnsi="Calibri Light" w:cs="Calibri Light"/>
                <w:color w:val="000000"/>
                <w:sz w:val="21"/>
                <w:szCs w:val="21"/>
              </w:rPr>
              <w:t>.</w:t>
            </w:r>
          </w:p>
          <w:p w14:paraId="5C7F353A" w14:textId="6753BBE1" w:rsidR="00EB52BC" w:rsidRPr="00E60930" w:rsidRDefault="00EB52BC" w:rsidP="00EB52BC">
            <w:pPr>
              <w:rPr>
                <w:rFonts w:asciiTheme="majorHAnsi" w:hAnsiTheme="majorHAnsi" w:cs="Arial"/>
                <w:b/>
                <w:color w:val="FF0000"/>
                <w:sz w:val="20"/>
                <w:szCs w:val="20"/>
              </w:rPr>
            </w:pPr>
            <w:r>
              <w:rPr>
                <w:rFonts w:asciiTheme="majorHAnsi" w:hAnsiTheme="majorHAnsi"/>
                <w:noProof/>
                <w:sz w:val="20"/>
              </w:rPr>
              <w:drawing>
                <wp:anchor distT="0" distB="0" distL="114300" distR="114300" simplePos="0" relativeHeight="251765248" behindDoc="0" locked="0" layoutInCell="1" allowOverlap="1" wp14:anchorId="2EFE4C34" wp14:editId="6CBE3A95">
                  <wp:simplePos x="0" y="0"/>
                  <wp:positionH relativeFrom="column">
                    <wp:posOffset>-7939</wp:posOffset>
                  </wp:positionH>
                  <wp:positionV relativeFrom="paragraph">
                    <wp:posOffset>155730</wp:posOffset>
                  </wp:positionV>
                  <wp:extent cx="195444" cy="19110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196983" cy="192606"/>
                          </a:xfrm>
                          <a:prstGeom prst="rect">
                            <a:avLst/>
                          </a:prstGeom>
                        </pic:spPr>
                      </pic:pic>
                    </a:graphicData>
                  </a:graphic>
                  <wp14:sizeRelH relativeFrom="page">
                    <wp14:pctWidth>0</wp14:pctWidth>
                  </wp14:sizeRelH>
                  <wp14:sizeRelV relativeFrom="page">
                    <wp14:pctHeight>0</wp14:pctHeight>
                  </wp14:sizeRelV>
                </wp:anchor>
              </w:drawing>
            </w:r>
          </w:p>
          <w:p w14:paraId="1729C851" w14:textId="0D062CFF" w:rsidR="00EB52BC" w:rsidRPr="005D163A" w:rsidRDefault="00EB52BC" w:rsidP="00EB52BC">
            <w:pPr>
              <w:rPr>
                <w:rFonts w:asciiTheme="majorHAnsi" w:hAnsiTheme="majorHAnsi" w:cs="Arial"/>
                <w:b/>
                <w:color w:val="000000" w:themeColor="text1"/>
                <w:szCs w:val="20"/>
              </w:rPr>
            </w:pPr>
            <w:r>
              <w:rPr>
                <w:rFonts w:asciiTheme="majorHAnsi" w:hAnsiTheme="majorHAnsi" w:cs="Arial"/>
                <w:b/>
                <w:color w:val="000000" w:themeColor="text1"/>
                <w:szCs w:val="20"/>
              </w:rPr>
              <w:t xml:space="preserve">        Dr. Murray’s Town Hall schedule:</w:t>
            </w:r>
            <w:r w:rsidRPr="005D163A">
              <w:rPr>
                <w:rFonts w:asciiTheme="majorHAnsi" w:hAnsiTheme="majorHAnsi" w:cs="Arial"/>
                <w:b/>
                <w:color w:val="000000" w:themeColor="text1"/>
                <w:szCs w:val="20"/>
              </w:rPr>
              <w:t xml:space="preserve"> </w:t>
            </w:r>
          </w:p>
          <w:p w14:paraId="45EE82E9" w14:textId="77777777" w:rsidR="00EB52BC" w:rsidRDefault="00EB52BC" w:rsidP="00EB52BC">
            <w:pPr>
              <w:rPr>
                <w:rFonts w:ascii="Calibri Light" w:hAnsi="Calibri Light" w:cs="Calibri Light"/>
                <w:color w:val="000000"/>
                <w:sz w:val="21"/>
                <w:szCs w:val="21"/>
              </w:rPr>
            </w:pPr>
            <w:r w:rsidRPr="00EB52BC">
              <w:rPr>
                <w:rFonts w:ascii="Calibri Light" w:hAnsi="Calibri Light" w:cs="Calibri Light"/>
                <w:color w:val="000000"/>
                <w:sz w:val="21"/>
                <w:szCs w:val="21"/>
              </w:rPr>
              <w:t>Dr. Murray will be rounding at various facilities next week, July 9-13, across the state. A list of facilities and locations can be found on the CMC web site. Employees must have supervisor approval to attend, if work space schedules allow.</w:t>
            </w:r>
          </w:p>
          <w:p w14:paraId="60243F62" w14:textId="77777777" w:rsidR="00EB52BC" w:rsidRDefault="00EB52BC" w:rsidP="00EB52BC">
            <w:pPr>
              <w:rPr>
                <w:rFonts w:ascii="Calibri Light" w:hAnsi="Calibri Light" w:cs="Calibri Light"/>
                <w:color w:val="000000"/>
                <w:sz w:val="21"/>
                <w:szCs w:val="21"/>
              </w:rPr>
            </w:pPr>
          </w:p>
          <w:p w14:paraId="4F49A4B9" w14:textId="23B7A0C5" w:rsidR="00EB52BC" w:rsidRPr="00EB52BC" w:rsidRDefault="00EB52BC" w:rsidP="00EB52BC">
            <w:pPr>
              <w:rPr>
                <w:rFonts w:ascii="Calibri Light" w:hAnsi="Calibri Light" w:cs="Calibri Light"/>
                <w:b/>
                <w:color w:val="FF0000"/>
                <w:sz w:val="21"/>
                <w:szCs w:val="21"/>
              </w:rPr>
            </w:pPr>
            <w:r w:rsidRPr="001F40FD">
              <w:rPr>
                <w:rFonts w:ascii="Calibri Light" w:hAnsi="Calibri Light" w:cs="Calibri Light"/>
                <w:b/>
                <w:color w:val="FF0000"/>
                <w:sz w:val="21"/>
                <w:szCs w:val="21"/>
              </w:rPr>
              <w:t>REMINDER</w:t>
            </w:r>
          </w:p>
          <w:p w14:paraId="57413941" w14:textId="6CAADFF7" w:rsidR="00EB52BC" w:rsidRPr="005D163A" w:rsidRDefault="00EB52BC" w:rsidP="00EB52BC">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7296" behindDoc="0" locked="0" layoutInCell="1" allowOverlap="1" wp14:anchorId="3D1E67D7" wp14:editId="528289E8">
                  <wp:simplePos x="0" y="0"/>
                  <wp:positionH relativeFrom="column">
                    <wp:posOffset>-5080</wp:posOffset>
                  </wp:positionH>
                  <wp:positionV relativeFrom="paragraph">
                    <wp:posOffset>3810</wp:posOffset>
                  </wp:positionV>
                  <wp:extent cx="195444" cy="19110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196983" cy="19260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Accrued admin leave for FY2018:</w:t>
            </w:r>
            <w:r w:rsidRPr="005D163A">
              <w:rPr>
                <w:rFonts w:asciiTheme="majorHAnsi" w:hAnsiTheme="majorHAnsi" w:cs="Arial"/>
                <w:b/>
                <w:color w:val="000000" w:themeColor="text1"/>
                <w:szCs w:val="20"/>
              </w:rPr>
              <w:t xml:space="preserve"> </w:t>
            </w:r>
          </w:p>
          <w:p w14:paraId="5DC0F4D9" w14:textId="26A6DA6A" w:rsidR="00E60930" w:rsidRPr="007D71EE" w:rsidRDefault="007D71EE" w:rsidP="00E60930">
            <w:pPr>
              <w:rPr>
                <w:rFonts w:ascii="Calibri Light" w:hAnsi="Calibri Light" w:cs="Calibri Light"/>
                <w:sz w:val="21"/>
                <w:szCs w:val="21"/>
              </w:rPr>
            </w:pPr>
            <w:r w:rsidRPr="007D71EE">
              <w:rPr>
                <w:rFonts w:ascii="Calibri Light" w:hAnsi="Calibri Light" w:cs="Calibri Light"/>
                <w:color w:val="000000"/>
                <w:sz w:val="21"/>
                <w:szCs w:val="21"/>
              </w:rPr>
              <w:t>Employees who banked administrative leave time given for inclement weather, etc. must use this time by Aug. 31. Historical edits for this administrative leave time will no longer be accepted after Aug. 31. For questions, please contact your local CMC Human Resources office.</w:t>
            </w:r>
          </w:p>
          <w:p w14:paraId="4E7E1DF2" w14:textId="77777777" w:rsidR="00E60930" w:rsidRDefault="00E60930" w:rsidP="00E60930">
            <w:pPr>
              <w:rPr>
                <w:rFonts w:ascii="Calibri Light" w:hAnsi="Calibri Light" w:cs="Calibri Light"/>
                <w:color w:val="000000"/>
                <w:sz w:val="21"/>
                <w:szCs w:val="21"/>
              </w:rPr>
            </w:pPr>
          </w:p>
          <w:p w14:paraId="574FA315" w14:textId="77777777" w:rsidR="00E60930" w:rsidRDefault="00E60930" w:rsidP="00E60930">
            <w:pPr>
              <w:rPr>
                <w:rFonts w:ascii="Calibri Light" w:hAnsi="Calibri Light" w:cs="Calibri Light"/>
                <w:color w:val="000000"/>
                <w:sz w:val="21"/>
                <w:szCs w:val="21"/>
              </w:rPr>
            </w:pPr>
          </w:p>
          <w:p w14:paraId="0A8B83F3" w14:textId="77777777" w:rsidR="008441D8" w:rsidRDefault="008441D8" w:rsidP="00E60930">
            <w:pPr>
              <w:rPr>
                <w:rFonts w:ascii="Calibri Light" w:hAnsi="Calibri Light" w:cs="Calibri Light"/>
                <w:color w:val="000000"/>
                <w:sz w:val="21"/>
                <w:szCs w:val="21"/>
              </w:rPr>
            </w:pPr>
          </w:p>
          <w:p w14:paraId="2551AE29" w14:textId="77777777" w:rsidR="008441D8" w:rsidRDefault="008441D8" w:rsidP="00E60930">
            <w:pPr>
              <w:rPr>
                <w:rFonts w:ascii="Calibri Light" w:hAnsi="Calibri Light" w:cs="Calibri Light"/>
                <w:color w:val="000000"/>
                <w:sz w:val="21"/>
                <w:szCs w:val="21"/>
              </w:rPr>
            </w:pPr>
          </w:p>
          <w:p w14:paraId="49932D2A" w14:textId="77777777" w:rsidR="008441D8" w:rsidRDefault="008441D8" w:rsidP="00E60930">
            <w:pPr>
              <w:rPr>
                <w:rFonts w:ascii="Calibri Light" w:hAnsi="Calibri Light" w:cs="Calibri Light"/>
                <w:color w:val="000000"/>
                <w:sz w:val="21"/>
                <w:szCs w:val="21"/>
              </w:rPr>
            </w:pPr>
          </w:p>
          <w:p w14:paraId="61245A87" w14:textId="77777777" w:rsidR="007D71EE" w:rsidRDefault="007D71EE" w:rsidP="00E60930">
            <w:pPr>
              <w:rPr>
                <w:rFonts w:ascii="Calibri Light" w:hAnsi="Calibri Light" w:cs="Calibri Light"/>
                <w:color w:val="000000"/>
                <w:sz w:val="21"/>
                <w:szCs w:val="21"/>
              </w:rPr>
            </w:pPr>
          </w:p>
          <w:p w14:paraId="2E388F08" w14:textId="77777777" w:rsidR="008441D8" w:rsidRDefault="008441D8" w:rsidP="00E60930">
            <w:pPr>
              <w:rPr>
                <w:rFonts w:ascii="Calibri Light" w:hAnsi="Calibri Light" w:cs="Calibri Light"/>
                <w:color w:val="000000"/>
                <w:sz w:val="21"/>
                <w:szCs w:val="21"/>
              </w:rPr>
            </w:pPr>
          </w:p>
          <w:p w14:paraId="4AD3F987" w14:textId="77777777" w:rsidR="008441D8" w:rsidRDefault="008441D8" w:rsidP="00E60930">
            <w:pPr>
              <w:rPr>
                <w:rFonts w:ascii="Calibri Light" w:hAnsi="Calibri Light" w:cs="Calibri Light"/>
                <w:color w:val="000000"/>
                <w:sz w:val="21"/>
                <w:szCs w:val="21"/>
              </w:rPr>
            </w:pPr>
          </w:p>
          <w:p w14:paraId="41187ECB" w14:textId="77777777" w:rsidR="008441D8" w:rsidRDefault="008441D8" w:rsidP="00E60930">
            <w:pPr>
              <w:rPr>
                <w:rFonts w:ascii="Calibri Light" w:hAnsi="Calibri Light" w:cs="Calibri Light"/>
                <w:color w:val="000000"/>
                <w:sz w:val="21"/>
                <w:szCs w:val="21"/>
              </w:rPr>
            </w:pPr>
          </w:p>
          <w:p w14:paraId="63C507E9" w14:textId="77777777" w:rsidR="008441D8" w:rsidRDefault="008441D8" w:rsidP="00E60930">
            <w:pPr>
              <w:rPr>
                <w:rFonts w:ascii="Calibri Light" w:hAnsi="Calibri Light" w:cs="Calibri Light"/>
                <w:color w:val="000000"/>
                <w:sz w:val="21"/>
                <w:szCs w:val="21"/>
              </w:rPr>
            </w:pPr>
          </w:p>
          <w:p w14:paraId="18CD7181" w14:textId="77777777" w:rsidR="008441D8" w:rsidRDefault="008441D8" w:rsidP="00E60930">
            <w:pPr>
              <w:rPr>
                <w:rFonts w:ascii="Calibri Light" w:hAnsi="Calibri Light" w:cs="Calibri Light"/>
                <w:color w:val="000000"/>
                <w:sz w:val="21"/>
                <w:szCs w:val="21"/>
              </w:rPr>
            </w:pPr>
          </w:p>
          <w:p w14:paraId="1C881F02" w14:textId="77777777" w:rsidR="008441D8" w:rsidRDefault="008441D8" w:rsidP="00E60930">
            <w:pPr>
              <w:rPr>
                <w:rFonts w:ascii="Calibri Light" w:hAnsi="Calibri Light" w:cs="Calibri Light"/>
                <w:color w:val="000000"/>
                <w:sz w:val="21"/>
                <w:szCs w:val="21"/>
              </w:rPr>
            </w:pPr>
          </w:p>
          <w:p w14:paraId="2D1A4B99" w14:textId="77777777" w:rsidR="008441D8" w:rsidRDefault="008441D8" w:rsidP="00E60930">
            <w:pPr>
              <w:rPr>
                <w:rFonts w:ascii="Calibri Light" w:hAnsi="Calibri Light" w:cs="Calibri Light"/>
                <w:color w:val="000000"/>
                <w:sz w:val="21"/>
                <w:szCs w:val="21"/>
              </w:rPr>
            </w:pPr>
          </w:p>
          <w:p w14:paraId="64D2E513" w14:textId="77777777" w:rsidR="008441D8" w:rsidRDefault="008441D8" w:rsidP="00E60930">
            <w:pPr>
              <w:rPr>
                <w:rFonts w:ascii="Calibri Light" w:hAnsi="Calibri Light" w:cs="Calibri Light"/>
                <w:color w:val="000000"/>
                <w:sz w:val="21"/>
                <w:szCs w:val="21"/>
              </w:rPr>
            </w:pPr>
          </w:p>
          <w:p w14:paraId="09AB0876" w14:textId="77777777" w:rsidR="008441D8" w:rsidRDefault="008441D8" w:rsidP="00E60930">
            <w:pPr>
              <w:rPr>
                <w:rFonts w:ascii="Calibri Light" w:hAnsi="Calibri Light" w:cs="Calibri Light"/>
                <w:color w:val="000000"/>
                <w:sz w:val="21"/>
                <w:szCs w:val="21"/>
              </w:rPr>
            </w:pPr>
          </w:p>
          <w:p w14:paraId="4AAD517A" w14:textId="77777777" w:rsidR="008441D8" w:rsidRDefault="008441D8" w:rsidP="00E60930">
            <w:pPr>
              <w:rPr>
                <w:rFonts w:ascii="Calibri Light" w:hAnsi="Calibri Light" w:cs="Calibri Light"/>
                <w:color w:val="000000"/>
                <w:sz w:val="21"/>
                <w:szCs w:val="21"/>
              </w:rPr>
            </w:pPr>
          </w:p>
          <w:p w14:paraId="2079EB70" w14:textId="77777777" w:rsidR="00E60930" w:rsidRPr="00E60930" w:rsidRDefault="00E60930" w:rsidP="00E60930">
            <w:pPr>
              <w:rPr>
                <w:rFonts w:ascii="Calibri Light" w:hAnsi="Calibri Light" w:cs="Calibri Light"/>
                <w:color w:val="000000"/>
                <w:sz w:val="21"/>
                <w:szCs w:val="21"/>
              </w:rPr>
            </w:pPr>
          </w:p>
          <w:p w14:paraId="53B7E5B5" w14:textId="77777777" w:rsidR="00E60930" w:rsidRDefault="00E60930" w:rsidP="004C290D">
            <w:pPr>
              <w:rPr>
                <w:rFonts w:ascii="Calibri" w:hAnsi="Calibri" w:cs="Calibri"/>
                <w:color w:val="000000"/>
              </w:rPr>
            </w:pPr>
          </w:p>
          <w:p w14:paraId="762DC59C" w14:textId="2FD531A3" w:rsidR="00360B73" w:rsidRPr="00360B73" w:rsidRDefault="00360B73" w:rsidP="00360B73">
            <w:pPr>
              <w:widowControl w:val="0"/>
              <w:autoSpaceDE w:val="0"/>
              <w:autoSpaceDN w:val="0"/>
              <w:adjustRightInd w:val="0"/>
              <w:rPr>
                <w:rFonts w:ascii="Calibri Light" w:hAnsi="Calibri Light" w:cs="Calibri"/>
                <w:sz w:val="21"/>
                <w:szCs w:val="21"/>
              </w:rPr>
            </w:pPr>
          </w:p>
        </w:tc>
        <w:tc>
          <w:tcPr>
            <w:tcW w:w="5940" w:type="dxa"/>
            <w:gridSpan w:val="2"/>
            <w:tcBorders>
              <w:left w:val="single" w:sz="4" w:space="0" w:color="auto"/>
              <w:right w:val="single" w:sz="8" w:space="0" w:color="auto"/>
            </w:tcBorders>
            <w:shd w:val="clear" w:color="auto" w:fill="FFFFFF" w:themeFill="background1"/>
          </w:tcPr>
          <w:p w14:paraId="36B77A43" w14:textId="77777777" w:rsidR="00F97AAD" w:rsidRDefault="00F97AAD" w:rsidP="00F97AAD">
            <w:pPr>
              <w:rPr>
                <w:rFonts w:asciiTheme="majorHAnsi" w:hAnsiTheme="majorHAnsi" w:cs="Arial"/>
                <w:b/>
                <w:color w:val="000000" w:themeColor="text1"/>
                <w:szCs w:val="20"/>
              </w:rPr>
            </w:pPr>
          </w:p>
          <w:p w14:paraId="24B87BAB" w14:textId="11DBD54F" w:rsidR="00F97AAD" w:rsidRPr="005D163A" w:rsidRDefault="001F40FD" w:rsidP="00F97AAD">
            <w:pPr>
              <w:rPr>
                <w:rFonts w:asciiTheme="majorHAnsi" w:hAnsiTheme="majorHAnsi" w:cs="Arial"/>
                <w:b/>
                <w:color w:val="000000" w:themeColor="text1"/>
                <w:szCs w:val="20"/>
              </w:rPr>
            </w:pPr>
            <w:r>
              <w:rPr>
                <w:rFonts w:asciiTheme="majorHAnsi" w:hAnsiTheme="majorHAnsi" w:cs="Arial"/>
                <w:b/>
                <w:color w:val="000000" w:themeColor="text1"/>
                <w:szCs w:val="20"/>
              </w:rPr>
              <w:t>Free physical and occupational therapy clinics</w:t>
            </w:r>
            <w:r w:rsidR="00F97AAD">
              <w:rPr>
                <w:rFonts w:asciiTheme="majorHAnsi" w:hAnsiTheme="majorHAnsi" w:cs="Arial"/>
                <w:b/>
                <w:color w:val="000000" w:themeColor="text1"/>
                <w:szCs w:val="20"/>
              </w:rPr>
              <w:t>:</w:t>
            </w:r>
            <w:r w:rsidR="00F97AAD" w:rsidRPr="005D163A">
              <w:rPr>
                <w:rFonts w:asciiTheme="majorHAnsi" w:hAnsiTheme="majorHAnsi" w:cs="Arial"/>
                <w:b/>
                <w:color w:val="000000" w:themeColor="text1"/>
                <w:szCs w:val="20"/>
              </w:rPr>
              <w:t xml:space="preserve"> </w:t>
            </w:r>
          </w:p>
          <w:p w14:paraId="582425EC" w14:textId="173C941E" w:rsidR="001F40FD" w:rsidRDefault="001F40FD" w:rsidP="001F40FD">
            <w:pPr>
              <w:rPr>
                <w:rFonts w:ascii="Calibri Light" w:hAnsi="Calibri Light" w:cs="Calibri Light"/>
                <w:color w:val="000000"/>
                <w:sz w:val="21"/>
                <w:szCs w:val="21"/>
              </w:rPr>
            </w:pPr>
            <w:r w:rsidRPr="001F40FD">
              <w:rPr>
                <w:rFonts w:ascii="Calibri Light" w:hAnsi="Calibri Light" w:cs="Calibri Light"/>
                <w:color w:val="000000"/>
                <w:sz w:val="21"/>
                <w:szCs w:val="21"/>
              </w:rPr>
              <w:t xml:space="preserve">Students and faculty from the School of Health Professions will host free physical and occupational therapy clinics in July. One set of clinics will be for those with back, neck, arm or leg pain, muscle weakness or poor balance. These two-week clinics will require a physical therapy referral from a medical professional and begin the week of July 16. Please contact Janna </w:t>
            </w:r>
            <w:proofErr w:type="spellStart"/>
            <w:r w:rsidRPr="001F40FD">
              <w:rPr>
                <w:rFonts w:ascii="Calibri Light" w:hAnsi="Calibri Light" w:cs="Calibri Light"/>
                <w:color w:val="000000"/>
                <w:sz w:val="21"/>
                <w:szCs w:val="21"/>
              </w:rPr>
              <w:t>McGaugh</w:t>
            </w:r>
            <w:proofErr w:type="spellEnd"/>
            <w:r w:rsidRPr="001F40FD">
              <w:rPr>
                <w:rFonts w:ascii="Calibri Light" w:hAnsi="Calibri Light" w:cs="Calibri Light"/>
                <w:color w:val="000000"/>
                <w:sz w:val="21"/>
                <w:szCs w:val="21"/>
              </w:rPr>
              <w:t xml:space="preserve"> at (409) 772-3068 or </w:t>
            </w:r>
            <w:r w:rsidR="007D71EE">
              <w:rPr>
                <w:rFonts w:ascii="Calibri Light" w:hAnsi="Calibri Light" w:cs="Calibri Light"/>
                <w:color w:val="000000"/>
                <w:sz w:val="21"/>
                <w:szCs w:val="21"/>
              </w:rPr>
              <w:t>email</w:t>
            </w:r>
            <w:r w:rsidRPr="001F40FD">
              <w:rPr>
                <w:rStyle w:val="apple-converted-space"/>
                <w:rFonts w:ascii="Calibri Light" w:hAnsi="Calibri Light" w:cs="Calibri Light"/>
                <w:color w:val="000000"/>
                <w:sz w:val="21"/>
                <w:szCs w:val="21"/>
              </w:rPr>
              <w:t> </w:t>
            </w:r>
            <w:hyperlink r:id="rId22" w:history="1">
              <w:r w:rsidRPr="001F40FD">
                <w:rPr>
                  <w:rStyle w:val="Hyperlink"/>
                  <w:rFonts w:ascii="Calibri Light" w:hAnsi="Calibri Light" w:cs="Calibri Light"/>
                  <w:color w:val="FF0000"/>
                  <w:sz w:val="21"/>
                  <w:szCs w:val="21"/>
                </w:rPr>
                <w:t>jamcgaug@utmb.edu</w:t>
              </w:r>
            </w:hyperlink>
            <w:r w:rsidRPr="001F40FD">
              <w:rPr>
                <w:rStyle w:val="apple-converted-space"/>
                <w:rFonts w:ascii="Calibri Light" w:hAnsi="Calibri Light" w:cs="Calibri Light"/>
                <w:color w:val="000000"/>
                <w:sz w:val="21"/>
                <w:szCs w:val="21"/>
              </w:rPr>
              <w:t> </w:t>
            </w:r>
            <w:r w:rsidR="007D71EE">
              <w:rPr>
                <w:rFonts w:ascii="Calibri Light" w:hAnsi="Calibri Light" w:cs="Calibri Light"/>
                <w:color w:val="000000"/>
                <w:sz w:val="21"/>
                <w:szCs w:val="21"/>
              </w:rPr>
              <w:t>for</w:t>
            </w:r>
            <w:r w:rsidRPr="001F40FD">
              <w:rPr>
                <w:rFonts w:ascii="Calibri Light" w:hAnsi="Calibri Light" w:cs="Calibri Light"/>
                <w:color w:val="000000"/>
                <w:sz w:val="21"/>
                <w:szCs w:val="21"/>
              </w:rPr>
              <w:t xml:space="preserve"> more details and for a copy of a medical referral form. The other clinics will be for those with stroke or other neurological problems and will also begin the week of July 16. For more information about these clinics, call Patrice Briggs at (409) 772-3060 or </w:t>
            </w:r>
            <w:r w:rsidR="007D71EE">
              <w:rPr>
                <w:rFonts w:ascii="Calibri Light" w:hAnsi="Calibri Light" w:cs="Calibri Light"/>
                <w:color w:val="000000"/>
                <w:sz w:val="21"/>
                <w:szCs w:val="21"/>
              </w:rPr>
              <w:t>email</w:t>
            </w:r>
            <w:r w:rsidRPr="001F40FD">
              <w:rPr>
                <w:rStyle w:val="apple-converted-space"/>
                <w:rFonts w:ascii="Calibri Light" w:hAnsi="Calibri Light" w:cs="Calibri Light"/>
                <w:color w:val="000000"/>
                <w:sz w:val="21"/>
                <w:szCs w:val="21"/>
              </w:rPr>
              <w:t> </w:t>
            </w:r>
            <w:hyperlink r:id="rId23" w:history="1">
              <w:r w:rsidRPr="001F40FD">
                <w:rPr>
                  <w:rStyle w:val="Hyperlink"/>
                  <w:rFonts w:ascii="Calibri Light" w:hAnsi="Calibri Light" w:cs="Calibri Light"/>
                  <w:color w:val="FF0000"/>
                  <w:sz w:val="21"/>
                  <w:szCs w:val="21"/>
                </w:rPr>
                <w:t>prbriggs@utmb.edu</w:t>
              </w:r>
            </w:hyperlink>
            <w:r w:rsidRPr="001F40FD">
              <w:rPr>
                <w:rFonts w:ascii="Calibri Light" w:hAnsi="Calibri Light" w:cs="Calibri Light"/>
                <w:color w:val="000000"/>
                <w:sz w:val="21"/>
                <w:szCs w:val="21"/>
              </w:rPr>
              <w:t>. Both sets of clinics will be held in the School of Health Professions Building, located at 11</w:t>
            </w:r>
            <w:r w:rsidRPr="001F40FD">
              <w:rPr>
                <w:rFonts w:ascii="Calibri Light" w:hAnsi="Calibri Light" w:cs="Calibri Light"/>
                <w:color w:val="000000"/>
                <w:sz w:val="21"/>
                <w:szCs w:val="21"/>
                <w:vertAlign w:val="superscript"/>
              </w:rPr>
              <w:t>th</w:t>
            </w:r>
            <w:r w:rsidRPr="001F40FD">
              <w:rPr>
                <w:rStyle w:val="apple-converted-space"/>
                <w:rFonts w:ascii="Calibri Light" w:hAnsi="Calibri Light" w:cs="Calibri Light"/>
                <w:color w:val="000000"/>
                <w:sz w:val="21"/>
                <w:szCs w:val="21"/>
              </w:rPr>
              <w:t> </w:t>
            </w:r>
            <w:r w:rsidRPr="001F40FD">
              <w:rPr>
                <w:rFonts w:ascii="Calibri Light" w:hAnsi="Calibri Light" w:cs="Calibri Light"/>
                <w:color w:val="000000"/>
                <w:sz w:val="21"/>
                <w:szCs w:val="21"/>
              </w:rPr>
              <w:t>and Mechanic streets on the Galveston Campus.</w:t>
            </w:r>
          </w:p>
          <w:p w14:paraId="26B8D094" w14:textId="77777777" w:rsidR="001F40FD" w:rsidRDefault="001F40FD" w:rsidP="001F40FD">
            <w:pPr>
              <w:rPr>
                <w:rFonts w:ascii="Calibri Light" w:hAnsi="Calibri Light" w:cs="Calibri Light"/>
                <w:color w:val="000000"/>
                <w:sz w:val="21"/>
                <w:szCs w:val="21"/>
              </w:rPr>
            </w:pPr>
          </w:p>
          <w:p w14:paraId="1B268C5E" w14:textId="22341FA8" w:rsidR="001F40FD" w:rsidRPr="001F40FD" w:rsidRDefault="001F40FD" w:rsidP="001F40FD">
            <w:pPr>
              <w:rPr>
                <w:rFonts w:ascii="Calibri Light" w:hAnsi="Calibri Light" w:cs="Calibri Light"/>
                <w:b/>
                <w:color w:val="FF0000"/>
                <w:sz w:val="21"/>
                <w:szCs w:val="21"/>
              </w:rPr>
            </w:pPr>
            <w:r w:rsidRPr="001F40FD">
              <w:rPr>
                <w:rFonts w:ascii="Calibri Light" w:hAnsi="Calibri Light" w:cs="Calibri Light"/>
                <w:b/>
                <w:color w:val="FF0000"/>
                <w:sz w:val="21"/>
                <w:szCs w:val="21"/>
              </w:rPr>
              <w:t>REMINDER</w:t>
            </w:r>
          </w:p>
          <w:p w14:paraId="30E3BA61" w14:textId="77777777" w:rsidR="001F40FD" w:rsidRPr="005D163A" w:rsidRDefault="001F40FD" w:rsidP="001F40FD">
            <w:pPr>
              <w:rPr>
                <w:rFonts w:asciiTheme="majorHAnsi" w:hAnsiTheme="majorHAnsi" w:cs="Arial"/>
                <w:b/>
                <w:color w:val="000000" w:themeColor="text1"/>
                <w:szCs w:val="20"/>
              </w:rPr>
            </w:pPr>
            <w:r>
              <w:rPr>
                <w:rFonts w:asciiTheme="majorHAnsi" w:hAnsiTheme="majorHAnsi" w:cs="Arial"/>
                <w:b/>
                <w:color w:val="000000" w:themeColor="text1"/>
                <w:szCs w:val="20"/>
              </w:rPr>
              <w:t>Employee Benefits Fairs:</w:t>
            </w:r>
            <w:r w:rsidRPr="005D163A">
              <w:rPr>
                <w:rFonts w:asciiTheme="majorHAnsi" w:hAnsiTheme="majorHAnsi" w:cs="Arial"/>
                <w:b/>
                <w:color w:val="000000" w:themeColor="text1"/>
                <w:szCs w:val="20"/>
              </w:rPr>
              <w:t xml:space="preserve"> </w:t>
            </w:r>
          </w:p>
          <w:p w14:paraId="2B71F8FA" w14:textId="77777777" w:rsidR="001F40FD" w:rsidRPr="001F40FD" w:rsidRDefault="001F40FD" w:rsidP="001F40FD">
            <w:pPr>
              <w:pStyle w:val="NoSpacing"/>
              <w:spacing w:after="60" w:line="253" w:lineRule="atLeast"/>
              <w:rPr>
                <w:rFonts w:ascii="Calibri Light" w:hAnsi="Calibri Light" w:cs="Calibri Light"/>
                <w:color w:val="000000"/>
                <w:sz w:val="21"/>
                <w:szCs w:val="21"/>
              </w:rPr>
            </w:pPr>
            <w:r w:rsidRPr="001F40FD">
              <w:rPr>
                <w:rFonts w:ascii="Calibri Light" w:hAnsi="Calibri Light" w:cs="Calibri Light"/>
                <w:color w:val="000000"/>
                <w:sz w:val="21"/>
                <w:szCs w:val="21"/>
              </w:rPr>
              <w:t>Be sure to stop by one of UTMB’s Employee Benefits Fairs to learn more about annual enrollment and the insurance, retirement and wellness programs for the 2018–2019 plan year. Fairs will be held:</w:t>
            </w:r>
          </w:p>
          <w:p w14:paraId="4E694B36" w14:textId="77777777" w:rsidR="001F40FD" w:rsidRPr="001F40FD" w:rsidRDefault="001F40FD" w:rsidP="001F40FD">
            <w:pPr>
              <w:numPr>
                <w:ilvl w:val="0"/>
                <w:numId w:val="18"/>
              </w:numPr>
              <w:spacing w:after="60" w:line="253" w:lineRule="atLeast"/>
              <w:rPr>
                <w:rFonts w:ascii="Calibri Light" w:hAnsi="Calibri Light" w:cs="Calibri Light"/>
                <w:color w:val="000000"/>
                <w:sz w:val="21"/>
                <w:szCs w:val="21"/>
              </w:rPr>
            </w:pPr>
            <w:r w:rsidRPr="007D71EE">
              <w:rPr>
                <w:rFonts w:ascii="Calibri Light" w:hAnsi="Calibri Light" w:cs="Calibri Light"/>
                <w:b/>
                <w:color w:val="000000"/>
                <w:sz w:val="21"/>
                <w:szCs w:val="21"/>
              </w:rPr>
              <w:t>July 10</w:t>
            </w:r>
            <w:r w:rsidRPr="001F40FD">
              <w:rPr>
                <w:rFonts w:ascii="Calibri Light" w:hAnsi="Calibri Light" w:cs="Calibri Light"/>
                <w:color w:val="000000"/>
                <w:sz w:val="21"/>
                <w:szCs w:val="21"/>
              </w:rPr>
              <w:t>, 10 a.m. – 1 p.m., League City Campus (Hospital, 1st Floor, Hallway near Lori’s Gift Shop)</w:t>
            </w:r>
          </w:p>
          <w:p w14:paraId="38773FE4" w14:textId="77777777" w:rsidR="001F40FD" w:rsidRPr="001F40FD" w:rsidRDefault="001F40FD" w:rsidP="001F40FD">
            <w:pPr>
              <w:numPr>
                <w:ilvl w:val="0"/>
                <w:numId w:val="18"/>
              </w:numPr>
              <w:spacing w:after="60" w:line="253" w:lineRule="atLeast"/>
              <w:rPr>
                <w:rFonts w:ascii="Calibri Light" w:hAnsi="Calibri Light" w:cs="Calibri Light"/>
                <w:color w:val="000000"/>
                <w:sz w:val="21"/>
                <w:szCs w:val="21"/>
              </w:rPr>
            </w:pPr>
            <w:r w:rsidRPr="007D71EE">
              <w:rPr>
                <w:rFonts w:ascii="Calibri Light" w:hAnsi="Calibri Light" w:cs="Calibri Light"/>
                <w:b/>
                <w:color w:val="000000"/>
                <w:sz w:val="21"/>
                <w:szCs w:val="21"/>
              </w:rPr>
              <w:t>July 11</w:t>
            </w:r>
            <w:r w:rsidRPr="001F40FD">
              <w:rPr>
                <w:rFonts w:ascii="Calibri Light" w:hAnsi="Calibri Light" w:cs="Calibri Light"/>
                <w:color w:val="000000"/>
                <w:sz w:val="21"/>
                <w:szCs w:val="21"/>
              </w:rPr>
              <w:t>, 10 a.m. – 2 p.m., Galveston Campus (Jennie Sealy Hospital, 1st Floor, Hallway near Einstein Bros. Bagels)</w:t>
            </w:r>
          </w:p>
          <w:p w14:paraId="51DAEF89" w14:textId="77777777" w:rsidR="001F40FD" w:rsidRPr="001F40FD" w:rsidRDefault="001F40FD" w:rsidP="001F40FD">
            <w:pPr>
              <w:numPr>
                <w:ilvl w:val="0"/>
                <w:numId w:val="18"/>
              </w:numPr>
              <w:spacing w:after="60" w:line="253" w:lineRule="atLeast"/>
              <w:rPr>
                <w:rFonts w:ascii="Calibri Light" w:hAnsi="Calibri Light" w:cs="Calibri Light"/>
                <w:color w:val="000000"/>
                <w:sz w:val="21"/>
                <w:szCs w:val="21"/>
              </w:rPr>
            </w:pPr>
            <w:r w:rsidRPr="007D71EE">
              <w:rPr>
                <w:rFonts w:ascii="Calibri Light" w:hAnsi="Calibri Light" w:cs="Calibri Light"/>
                <w:b/>
                <w:color w:val="000000"/>
                <w:sz w:val="21"/>
                <w:szCs w:val="21"/>
              </w:rPr>
              <w:t>July 12</w:t>
            </w:r>
            <w:r w:rsidRPr="001F40FD">
              <w:rPr>
                <w:rFonts w:ascii="Calibri Light" w:hAnsi="Calibri Light" w:cs="Calibri Light"/>
                <w:color w:val="000000"/>
                <w:sz w:val="21"/>
                <w:szCs w:val="21"/>
              </w:rPr>
              <w:t>, 10 a.m. – 1 p.m., Angleton Danbury Campus (Professional Office Building, Auditorium)</w:t>
            </w:r>
          </w:p>
          <w:p w14:paraId="18380013" w14:textId="3FDD991E" w:rsidR="00F97AAD" w:rsidRPr="001F40FD" w:rsidRDefault="001F40FD" w:rsidP="001F40FD">
            <w:pPr>
              <w:shd w:val="clear" w:color="auto" w:fill="FFFFFF"/>
              <w:spacing w:line="253" w:lineRule="atLeast"/>
              <w:rPr>
                <w:rFonts w:ascii="Calibri Light" w:hAnsi="Calibri Light" w:cs="Calibri Light"/>
                <w:color w:val="000000"/>
                <w:sz w:val="21"/>
                <w:szCs w:val="21"/>
              </w:rPr>
            </w:pPr>
            <w:r w:rsidRPr="001F40FD">
              <w:rPr>
                <w:rFonts w:ascii="Calibri Light" w:hAnsi="Calibri Light" w:cs="Calibri Light"/>
                <w:color w:val="000000"/>
                <w:sz w:val="21"/>
                <w:szCs w:val="21"/>
              </w:rPr>
              <w:t>Details are available on</w:t>
            </w:r>
            <w:r w:rsidRPr="001F40FD">
              <w:rPr>
                <w:rStyle w:val="apple-converted-space"/>
                <w:rFonts w:ascii="Calibri Light" w:hAnsi="Calibri Light" w:cs="Calibri Light"/>
                <w:color w:val="000000"/>
                <w:sz w:val="21"/>
                <w:szCs w:val="21"/>
              </w:rPr>
              <w:t> </w:t>
            </w:r>
            <w:proofErr w:type="spellStart"/>
            <w:r w:rsidRPr="001F40FD">
              <w:rPr>
                <w:rFonts w:ascii="Calibri Light" w:hAnsi="Calibri Light" w:cs="Calibri Light"/>
                <w:color w:val="ED2839"/>
                <w:sz w:val="21"/>
                <w:szCs w:val="21"/>
                <w:u w:val="single"/>
              </w:rPr>
              <w:fldChar w:fldCharType="begin"/>
            </w:r>
            <w:r w:rsidRPr="001F40FD">
              <w:rPr>
                <w:rFonts w:ascii="Calibri Light" w:hAnsi="Calibri Light" w:cs="Calibri Light"/>
                <w:color w:val="ED2839"/>
                <w:sz w:val="21"/>
                <w:szCs w:val="21"/>
                <w:u w:val="single"/>
              </w:rPr>
              <w:instrText xml:space="preserve"> HYPERLINK "http://intranet.utmb.edu/iutmb/" </w:instrText>
            </w:r>
            <w:r w:rsidRPr="001F40FD">
              <w:rPr>
                <w:rFonts w:ascii="Calibri Light" w:hAnsi="Calibri Light" w:cs="Calibri Light"/>
                <w:color w:val="ED2839"/>
                <w:sz w:val="21"/>
                <w:szCs w:val="21"/>
                <w:u w:val="single"/>
              </w:rPr>
              <w:fldChar w:fldCharType="separate"/>
            </w:r>
            <w:r w:rsidRPr="001F40FD">
              <w:rPr>
                <w:rStyle w:val="Hyperlink"/>
                <w:rFonts w:ascii="Calibri Light" w:hAnsi="Calibri Light" w:cs="Calibri Light"/>
                <w:color w:val="ED2839"/>
                <w:sz w:val="21"/>
                <w:szCs w:val="21"/>
              </w:rPr>
              <w:t>iUTMB</w:t>
            </w:r>
            <w:proofErr w:type="spellEnd"/>
            <w:r w:rsidRPr="001F40FD">
              <w:rPr>
                <w:rFonts w:ascii="Calibri Light" w:hAnsi="Calibri Light" w:cs="Calibri Light"/>
                <w:color w:val="ED2839"/>
                <w:sz w:val="21"/>
                <w:szCs w:val="21"/>
                <w:u w:val="single"/>
              </w:rPr>
              <w:fldChar w:fldCharType="end"/>
            </w:r>
            <w:r w:rsidRPr="001F40FD">
              <w:rPr>
                <w:rFonts w:ascii="Calibri Light" w:hAnsi="Calibri Light" w:cs="Calibri Light"/>
                <w:color w:val="000000"/>
                <w:sz w:val="21"/>
                <w:szCs w:val="21"/>
              </w:rPr>
              <w:t>.</w:t>
            </w: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E83C307" w14:textId="3564010C" w:rsidR="001F40FD" w:rsidRPr="004F751D" w:rsidRDefault="001F40FD" w:rsidP="001F40FD">
            <w:pPr>
              <w:rPr>
                <w:rFonts w:ascii="Calibri Light" w:hAnsi="Calibri Light" w:cs="Calibri Light"/>
                <w:sz w:val="20"/>
                <w:szCs w:val="20"/>
              </w:rPr>
            </w:pPr>
            <w:r w:rsidRPr="004F751D">
              <w:rPr>
                <w:rFonts w:ascii="Calibri Light" w:hAnsi="Calibri Light" w:cs="Calibri Light"/>
                <w:color w:val="000000"/>
                <w:sz w:val="20"/>
                <w:szCs w:val="20"/>
              </w:rPr>
              <w:t>UTMB is home to one of only 15 Claude D. Pepper Older Americans Independence Centers in the United States. The mission of the centers is to increase scientific knowledge that allows older adults to maintain and restore their independence. The centers also develop and enhance research and education at institutions with strong programs in aging research. The UTMB Pepper Center was established in 2000 with a focus on improving physical function and independence in older adults and an emphasis on career development and training of the next generation of leaders in geriatric research. The Pepper Centers are named in honor of the late U.S. Sen. Claude D. Pepper, who became known as the “spokesman for the elderly” and rejected the notion that physical and mental decline were an inevitable part of aging. To read more about UTMB’s center, visit</w:t>
            </w:r>
            <w:r w:rsidR="004F751D">
              <w:rPr>
                <w:rFonts w:ascii="Calibri Light" w:hAnsi="Calibri Light" w:cs="Calibri Light"/>
                <w:color w:val="000000"/>
                <w:sz w:val="20"/>
                <w:szCs w:val="20"/>
              </w:rPr>
              <w:t xml:space="preserve"> </w:t>
            </w:r>
            <w:hyperlink r:id="rId24" w:history="1">
              <w:r w:rsidRPr="00084556">
                <w:rPr>
                  <w:rStyle w:val="Hyperlink"/>
                  <w:rFonts w:ascii="Calibri Light" w:hAnsi="Calibri Light" w:cs="Calibri Light"/>
                  <w:color w:val="FF0000"/>
                  <w:sz w:val="20"/>
                  <w:szCs w:val="20"/>
                </w:rPr>
                <w:t>https://www.utmb.edu/pepper/default.asp</w:t>
              </w:r>
            </w:hyperlink>
            <w:r w:rsidRPr="00084556">
              <w:rPr>
                <w:rFonts w:ascii="Calibri Light" w:hAnsi="Calibri Light" w:cs="Calibri Light"/>
                <w:color w:val="FF0000"/>
                <w:sz w:val="20"/>
                <w:szCs w:val="20"/>
              </w:rPr>
              <w:t>.</w:t>
            </w:r>
          </w:p>
          <w:p w14:paraId="504F7C08" w14:textId="77777777" w:rsidR="00E60930" w:rsidRDefault="00E60930" w:rsidP="00D078F8">
            <w:pPr>
              <w:rPr>
                <w:rFonts w:ascii="Calibri Light" w:hAnsi="Calibri Light" w:cs="Calibri Light"/>
                <w:color w:val="000000"/>
                <w:sz w:val="21"/>
                <w:szCs w:val="21"/>
              </w:rPr>
            </w:pPr>
          </w:p>
          <w:p w14:paraId="05926C6B" w14:textId="418A48E3" w:rsidR="00E60930" w:rsidRPr="00E60930" w:rsidRDefault="00E60930" w:rsidP="00E60930">
            <w:pPr>
              <w:rPr>
                <w:rFonts w:asciiTheme="majorHAnsi" w:hAnsiTheme="majorHAnsi" w:cs="Arial"/>
                <w:b/>
                <w:color w:val="FF0000"/>
                <w:sz w:val="20"/>
                <w:szCs w:val="20"/>
              </w:rPr>
            </w:pPr>
            <w:r>
              <w:rPr>
                <w:rFonts w:asciiTheme="majorHAnsi" w:hAnsiTheme="majorHAnsi"/>
                <w:noProof/>
                <w:sz w:val="20"/>
              </w:rPr>
              <w:drawing>
                <wp:anchor distT="0" distB="0" distL="114300" distR="114300" simplePos="0" relativeHeight="251761152" behindDoc="0" locked="0" layoutInCell="1" allowOverlap="1" wp14:anchorId="43B29C32" wp14:editId="5FB13C1D">
                  <wp:simplePos x="0" y="0"/>
                  <wp:positionH relativeFrom="column">
                    <wp:posOffset>-7620</wp:posOffset>
                  </wp:positionH>
                  <wp:positionV relativeFrom="paragraph">
                    <wp:posOffset>8895</wp:posOffset>
                  </wp:positionV>
                  <wp:extent cx="221103" cy="188464"/>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21103" cy="188464"/>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The Joint Commission Question of the Week—Medication management:</w:t>
            </w:r>
            <w:r w:rsidRPr="005D163A">
              <w:rPr>
                <w:rFonts w:asciiTheme="majorHAnsi" w:hAnsiTheme="majorHAnsi" w:cs="Arial"/>
                <w:b/>
                <w:color w:val="000000" w:themeColor="text1"/>
                <w:szCs w:val="20"/>
              </w:rPr>
              <w:t xml:space="preserve"> </w:t>
            </w:r>
          </w:p>
          <w:p w14:paraId="09339FA7" w14:textId="77777777" w:rsidR="008441D8" w:rsidRDefault="008441D8" w:rsidP="008441D8">
            <w:pPr>
              <w:rPr>
                <w:rFonts w:ascii="Calibri Light" w:hAnsi="Calibri Light" w:cs="Calibri Light"/>
                <w:color w:val="000000"/>
                <w:sz w:val="21"/>
                <w:szCs w:val="21"/>
              </w:rPr>
            </w:pPr>
            <w:r w:rsidRPr="008441D8">
              <w:rPr>
                <w:rFonts w:ascii="Calibri Light" w:hAnsi="Calibri Light" w:cs="Calibri Light"/>
                <w:b/>
                <w:color w:val="000000"/>
                <w:sz w:val="21"/>
                <w:szCs w:val="21"/>
              </w:rPr>
              <w:t>1.</w:t>
            </w:r>
            <w:r w:rsidRPr="008441D8">
              <w:rPr>
                <w:rStyle w:val="apple-converted-space"/>
                <w:rFonts w:ascii="Calibri Light" w:hAnsi="Calibri Light" w:cs="Calibri Light"/>
                <w:b/>
                <w:color w:val="000000"/>
                <w:sz w:val="21"/>
                <w:szCs w:val="21"/>
              </w:rPr>
              <w:t> </w:t>
            </w:r>
            <w:r w:rsidRPr="008441D8">
              <w:rPr>
                <w:rFonts w:ascii="Calibri Light" w:hAnsi="Calibri Light" w:cs="Calibri Light"/>
                <w:b/>
                <w:bCs/>
                <w:color w:val="000000"/>
                <w:sz w:val="21"/>
                <w:szCs w:val="21"/>
              </w:rPr>
              <w:t>True or False:</w:t>
            </w:r>
            <w:r w:rsidRPr="008441D8">
              <w:rPr>
                <w:rStyle w:val="apple-converted-space"/>
                <w:rFonts w:ascii="Calibri Light" w:hAnsi="Calibri Light" w:cs="Calibri Light"/>
                <w:color w:val="000000"/>
                <w:sz w:val="21"/>
                <w:szCs w:val="21"/>
              </w:rPr>
              <w:t> </w:t>
            </w:r>
            <w:r w:rsidRPr="008441D8">
              <w:rPr>
                <w:rFonts w:ascii="Calibri Light" w:hAnsi="Calibri Light" w:cs="Calibri Light"/>
                <w:color w:val="000000"/>
                <w:sz w:val="21"/>
                <w:szCs w:val="21"/>
              </w:rPr>
              <w:t>UTMB allows for the use of drug samples in our hospital and outlying ambulatory clinic locations. </w:t>
            </w:r>
          </w:p>
          <w:p w14:paraId="2B008CDD" w14:textId="1C8089E2" w:rsidR="008441D8" w:rsidRPr="008441D8" w:rsidRDefault="008441D8" w:rsidP="008441D8">
            <w:pPr>
              <w:rPr>
                <w:rFonts w:ascii="Calibri Light" w:hAnsi="Calibri Light" w:cs="Calibri Light"/>
                <w:color w:val="000000"/>
                <w:sz w:val="21"/>
                <w:szCs w:val="21"/>
              </w:rPr>
            </w:pPr>
            <w:r w:rsidRPr="008441D8">
              <w:rPr>
                <w:rFonts w:ascii="Calibri Light" w:hAnsi="Calibri Light" w:cs="Calibri Light"/>
                <w:b/>
                <w:bCs/>
                <w:color w:val="000000"/>
                <w:sz w:val="21"/>
                <w:szCs w:val="21"/>
              </w:rPr>
              <w:t>Answer:</w:t>
            </w:r>
            <w:r w:rsidRPr="008441D8">
              <w:rPr>
                <w:rStyle w:val="apple-converted-space"/>
                <w:rFonts w:ascii="Calibri Light" w:hAnsi="Calibri Light" w:cs="Calibri Light"/>
                <w:color w:val="000000"/>
                <w:sz w:val="21"/>
                <w:szCs w:val="21"/>
              </w:rPr>
              <w:t> </w:t>
            </w:r>
            <w:r w:rsidRPr="008441D8">
              <w:rPr>
                <w:rFonts w:ascii="Calibri Light" w:hAnsi="Calibri Light" w:cs="Calibri Light"/>
                <w:color w:val="000000"/>
                <w:sz w:val="21"/>
                <w:szCs w:val="21"/>
              </w:rPr>
              <w:t>False. The use of drug samples is prohibited at UTMB.  </w:t>
            </w:r>
          </w:p>
          <w:p w14:paraId="4F28C510" w14:textId="77777777" w:rsidR="008441D8" w:rsidRPr="008441D8" w:rsidRDefault="008441D8" w:rsidP="008441D8">
            <w:pPr>
              <w:rPr>
                <w:rFonts w:ascii="Calibri Light" w:hAnsi="Calibri Light" w:cs="Calibri Light"/>
                <w:color w:val="000000"/>
                <w:sz w:val="21"/>
                <w:szCs w:val="21"/>
              </w:rPr>
            </w:pPr>
            <w:r w:rsidRPr="008441D8">
              <w:rPr>
                <w:rFonts w:ascii="Calibri Light" w:hAnsi="Calibri Light" w:cs="Calibri Light"/>
                <w:color w:val="000000"/>
                <w:sz w:val="21"/>
                <w:szCs w:val="21"/>
              </w:rPr>
              <w:t> </w:t>
            </w:r>
          </w:p>
          <w:p w14:paraId="6A1CDB4A" w14:textId="77777777" w:rsidR="008441D8" w:rsidRPr="008441D8" w:rsidRDefault="008441D8" w:rsidP="008441D8">
            <w:pPr>
              <w:rPr>
                <w:rFonts w:ascii="Calibri Light" w:hAnsi="Calibri Light" w:cs="Calibri Light"/>
                <w:b/>
                <w:color w:val="000000"/>
                <w:sz w:val="21"/>
                <w:szCs w:val="21"/>
              </w:rPr>
            </w:pPr>
            <w:r w:rsidRPr="008441D8">
              <w:rPr>
                <w:rFonts w:ascii="Calibri Light" w:hAnsi="Calibri Light" w:cs="Calibri Light"/>
                <w:b/>
                <w:bCs/>
                <w:color w:val="000000"/>
                <w:sz w:val="21"/>
                <w:szCs w:val="21"/>
              </w:rPr>
              <w:t>2. Medications may be provided when the pharmacy is closed if ___________.</w:t>
            </w:r>
          </w:p>
          <w:p w14:paraId="701595F9" w14:textId="77777777" w:rsidR="008441D8" w:rsidRPr="008441D8" w:rsidRDefault="008441D8" w:rsidP="008441D8">
            <w:pPr>
              <w:numPr>
                <w:ilvl w:val="0"/>
                <w:numId w:val="20"/>
              </w:numPr>
              <w:rPr>
                <w:rFonts w:ascii="Calibri Light" w:hAnsi="Calibri Light" w:cs="Calibri Light"/>
                <w:color w:val="000000"/>
                <w:sz w:val="21"/>
                <w:szCs w:val="21"/>
              </w:rPr>
            </w:pPr>
            <w:r w:rsidRPr="008441D8">
              <w:rPr>
                <w:rFonts w:ascii="Calibri Light" w:hAnsi="Calibri Light" w:cs="Calibri Light"/>
                <w:color w:val="000000"/>
                <w:sz w:val="21"/>
                <w:szCs w:val="21"/>
              </w:rPr>
              <w:t>A licensed independent practitioner controls the ordering, preparation and administration of the medication.</w:t>
            </w:r>
          </w:p>
          <w:p w14:paraId="07276779" w14:textId="77777777" w:rsidR="008441D8" w:rsidRPr="008441D8" w:rsidRDefault="008441D8" w:rsidP="008441D8">
            <w:pPr>
              <w:numPr>
                <w:ilvl w:val="0"/>
                <w:numId w:val="20"/>
              </w:numPr>
              <w:rPr>
                <w:rFonts w:ascii="Calibri Light" w:hAnsi="Calibri Light" w:cs="Calibri Light"/>
                <w:color w:val="000000"/>
                <w:sz w:val="21"/>
                <w:szCs w:val="21"/>
              </w:rPr>
            </w:pPr>
            <w:r w:rsidRPr="008441D8">
              <w:rPr>
                <w:rFonts w:ascii="Calibri Light" w:hAnsi="Calibri Light" w:cs="Calibri Light"/>
                <w:color w:val="000000"/>
                <w:sz w:val="21"/>
                <w:szCs w:val="21"/>
              </w:rPr>
              <w:t>A pharmacist will be available to conduct a retrospective review of all medication ordered during the time period as soon as a pharmacist is available or the pharmacy opens.</w:t>
            </w:r>
          </w:p>
          <w:p w14:paraId="0DB943BC" w14:textId="77777777" w:rsidR="008441D8" w:rsidRPr="008441D8" w:rsidRDefault="008441D8" w:rsidP="008441D8">
            <w:pPr>
              <w:numPr>
                <w:ilvl w:val="0"/>
                <w:numId w:val="20"/>
              </w:numPr>
              <w:rPr>
                <w:rFonts w:ascii="Calibri Light" w:hAnsi="Calibri Light" w:cs="Calibri Light"/>
                <w:color w:val="000000"/>
                <w:sz w:val="21"/>
                <w:szCs w:val="21"/>
              </w:rPr>
            </w:pPr>
            <w:r w:rsidRPr="008441D8">
              <w:rPr>
                <w:rFonts w:ascii="Calibri Light" w:hAnsi="Calibri Light" w:cs="Calibri Light"/>
                <w:color w:val="000000"/>
                <w:sz w:val="21"/>
                <w:szCs w:val="21"/>
              </w:rPr>
              <w:t>A pharmacist is available on-call for the preparation and dispensing of emergency medication.</w:t>
            </w:r>
          </w:p>
          <w:p w14:paraId="17682E4F" w14:textId="77777777" w:rsidR="008441D8" w:rsidRPr="008441D8" w:rsidRDefault="008441D8" w:rsidP="008441D8">
            <w:pPr>
              <w:numPr>
                <w:ilvl w:val="0"/>
                <w:numId w:val="20"/>
              </w:numPr>
              <w:rPr>
                <w:rFonts w:ascii="Calibri Light" w:hAnsi="Calibri Light" w:cs="Calibri Light"/>
                <w:color w:val="000000"/>
                <w:sz w:val="21"/>
                <w:szCs w:val="21"/>
              </w:rPr>
            </w:pPr>
            <w:r w:rsidRPr="008441D8">
              <w:rPr>
                <w:rFonts w:ascii="Calibri Light" w:hAnsi="Calibri Light" w:cs="Calibri Light"/>
                <w:color w:val="000000"/>
                <w:sz w:val="21"/>
                <w:szCs w:val="21"/>
              </w:rPr>
              <w:t>The main campus pharmacy is open 24/7 to verify orders and also to answer staff questions.</w:t>
            </w:r>
          </w:p>
          <w:p w14:paraId="12C54A38" w14:textId="77777777" w:rsidR="008441D8" w:rsidRDefault="008441D8" w:rsidP="008441D8">
            <w:pPr>
              <w:numPr>
                <w:ilvl w:val="0"/>
                <w:numId w:val="20"/>
              </w:numPr>
              <w:rPr>
                <w:rFonts w:ascii="Calibri Light" w:hAnsi="Calibri Light" w:cs="Calibri Light"/>
                <w:color w:val="000000"/>
                <w:sz w:val="21"/>
                <w:szCs w:val="21"/>
              </w:rPr>
            </w:pPr>
            <w:r w:rsidRPr="008441D8">
              <w:rPr>
                <w:rFonts w:ascii="Calibri Light" w:hAnsi="Calibri Light" w:cs="Calibri Light"/>
                <w:color w:val="000000"/>
                <w:sz w:val="21"/>
                <w:szCs w:val="21"/>
              </w:rPr>
              <w:t>All of the above </w:t>
            </w:r>
          </w:p>
          <w:p w14:paraId="323DDE72" w14:textId="77777777" w:rsidR="008441D8" w:rsidRPr="008441D8" w:rsidRDefault="008441D8" w:rsidP="008441D8">
            <w:pPr>
              <w:ind w:left="720"/>
              <w:rPr>
                <w:rFonts w:ascii="Calibri Light" w:hAnsi="Calibri Light" w:cs="Calibri Light"/>
                <w:color w:val="000000"/>
                <w:sz w:val="21"/>
                <w:szCs w:val="21"/>
              </w:rPr>
            </w:pPr>
          </w:p>
          <w:p w14:paraId="35BCFEB1" w14:textId="77777777" w:rsidR="008441D8" w:rsidRDefault="008441D8" w:rsidP="008441D8">
            <w:pPr>
              <w:rPr>
                <w:rFonts w:ascii="Calibri" w:hAnsi="Calibri" w:cs="Calibri"/>
                <w:color w:val="000000"/>
              </w:rPr>
            </w:pPr>
            <w:r w:rsidRPr="008441D8">
              <w:rPr>
                <w:rFonts w:ascii="Calibri Light" w:hAnsi="Calibri Light" w:cs="Calibri Light"/>
                <w:b/>
                <w:bCs/>
                <w:color w:val="000000"/>
                <w:sz w:val="21"/>
                <w:szCs w:val="21"/>
              </w:rPr>
              <w:t>Answer:</w:t>
            </w:r>
            <w:r w:rsidRPr="008441D8">
              <w:rPr>
                <w:rFonts w:ascii="Calibri Light" w:hAnsi="Calibri Light" w:cs="Calibri Light"/>
                <w:color w:val="000000"/>
                <w:sz w:val="21"/>
                <w:szCs w:val="21"/>
              </w:rPr>
              <w:t>  E. When the pharmacy is not open 24/7 (which is the case on the Angleton Danbury and League City campuses), the hospital must have a process for providing medications to meet patient needs. Medications needed after hours are available in the Pyxis medication stations, and only trained/authorized staff members have access to the Pyxis cabinets. The Galveston Campus pharmacy is open 24 hours to verify orders and to answer any questions that providers may have. A pharmacist is available on call at both LCC and ADC locations for emergent needs. A “double check” of medications must be done by two nurses or a nurse and a physician. Also, use of barcode medication administration should aid in decreasing medication errors.</w:t>
            </w:r>
          </w:p>
          <w:p w14:paraId="29F3D34D" w14:textId="3B2A8107" w:rsidR="00E60930" w:rsidRPr="004F16C0" w:rsidRDefault="00E60930" w:rsidP="00D078F8">
            <w:pPr>
              <w:rPr>
                <w:rFonts w:ascii="Calibri Light" w:hAnsi="Calibri Light" w:cs="Calibri Light"/>
                <w:sz w:val="21"/>
                <w:szCs w:val="21"/>
              </w:rPr>
            </w:pP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0C96" w14:textId="77777777" w:rsidR="00ED0722" w:rsidRDefault="00ED0722" w:rsidP="00874B86">
      <w:r>
        <w:separator/>
      </w:r>
    </w:p>
  </w:endnote>
  <w:endnote w:type="continuationSeparator" w:id="0">
    <w:p w14:paraId="6B74F19E" w14:textId="77777777" w:rsidR="00ED0722" w:rsidRDefault="00ED072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088E2" w14:textId="77777777" w:rsidR="00ED0722" w:rsidRDefault="00ED0722" w:rsidP="00874B86">
      <w:r>
        <w:separator/>
      </w:r>
    </w:p>
  </w:footnote>
  <w:footnote w:type="continuationSeparator" w:id="0">
    <w:p w14:paraId="40468056" w14:textId="77777777" w:rsidR="00ED0722" w:rsidRDefault="00ED072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5E464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E60A7"/>
    <w:multiLevelType w:val="multilevel"/>
    <w:tmpl w:val="49E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552E3"/>
    <w:multiLevelType w:val="hybridMultilevel"/>
    <w:tmpl w:val="33D8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144D6"/>
    <w:multiLevelType w:val="multilevel"/>
    <w:tmpl w:val="10B09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45639"/>
    <w:multiLevelType w:val="multilevel"/>
    <w:tmpl w:val="01A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2"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5"/>
  </w:num>
  <w:num w:numId="3">
    <w:abstractNumId w:val="14"/>
  </w:num>
  <w:num w:numId="4">
    <w:abstractNumId w:val="0"/>
  </w:num>
  <w:num w:numId="5">
    <w:abstractNumId w:val="1"/>
  </w:num>
  <w:num w:numId="6">
    <w:abstractNumId w:val="2"/>
  </w:num>
  <w:num w:numId="7">
    <w:abstractNumId w:val="4"/>
  </w:num>
  <w:num w:numId="8">
    <w:abstractNumId w:val="16"/>
  </w:num>
  <w:num w:numId="9">
    <w:abstractNumId w:val="11"/>
  </w:num>
  <w:num w:numId="10">
    <w:abstractNumId w:val="13"/>
  </w:num>
  <w:num w:numId="11">
    <w:abstractNumId w:val="12"/>
  </w:num>
  <w:num w:numId="12">
    <w:abstractNumId w:val="9"/>
  </w:num>
  <w:num w:numId="13">
    <w:abstractNumId w:val="19"/>
  </w:num>
  <w:num w:numId="14">
    <w:abstractNumId w:val="17"/>
  </w:num>
  <w:num w:numId="15">
    <w:abstractNumId w:val="18"/>
  </w:num>
  <w:num w:numId="16">
    <w:abstractNumId w:val="8"/>
  </w:num>
  <w:num w:numId="17">
    <w:abstractNumId w:val="3"/>
  </w:num>
  <w:num w:numId="18">
    <w:abstractNumId w:val="10"/>
  </w:num>
  <w:num w:numId="19">
    <w:abstractNumId w:val="6"/>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3AC2"/>
    <w:rsid w:val="000421C8"/>
    <w:rsid w:val="00046B32"/>
    <w:rsid w:val="00046FAF"/>
    <w:rsid w:val="0006169E"/>
    <w:rsid w:val="0007004E"/>
    <w:rsid w:val="0007289E"/>
    <w:rsid w:val="0008142C"/>
    <w:rsid w:val="0008270F"/>
    <w:rsid w:val="00084556"/>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37C3C"/>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40FD"/>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C7D"/>
    <w:rsid w:val="00297EB4"/>
    <w:rsid w:val="002A389B"/>
    <w:rsid w:val="002A43E0"/>
    <w:rsid w:val="002B4013"/>
    <w:rsid w:val="002B6F31"/>
    <w:rsid w:val="002C19C8"/>
    <w:rsid w:val="002C23DC"/>
    <w:rsid w:val="002C33E2"/>
    <w:rsid w:val="002D0DE5"/>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96356"/>
    <w:rsid w:val="004A2F43"/>
    <w:rsid w:val="004A48A1"/>
    <w:rsid w:val="004A6B9E"/>
    <w:rsid w:val="004B3A59"/>
    <w:rsid w:val="004C1619"/>
    <w:rsid w:val="004C290D"/>
    <w:rsid w:val="004C3BE1"/>
    <w:rsid w:val="004C4313"/>
    <w:rsid w:val="004E1396"/>
    <w:rsid w:val="004F16C0"/>
    <w:rsid w:val="004F5E00"/>
    <w:rsid w:val="004F74F1"/>
    <w:rsid w:val="004F751D"/>
    <w:rsid w:val="004F7EC6"/>
    <w:rsid w:val="00502D6C"/>
    <w:rsid w:val="005060DE"/>
    <w:rsid w:val="00516278"/>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464C"/>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2FE8"/>
    <w:rsid w:val="006804EC"/>
    <w:rsid w:val="00680E61"/>
    <w:rsid w:val="00682DCE"/>
    <w:rsid w:val="00694829"/>
    <w:rsid w:val="0069634D"/>
    <w:rsid w:val="006A7BC7"/>
    <w:rsid w:val="006B1031"/>
    <w:rsid w:val="006B68AF"/>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1EE"/>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441D8"/>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62F24"/>
    <w:rsid w:val="00974732"/>
    <w:rsid w:val="00975BF5"/>
    <w:rsid w:val="00976EAF"/>
    <w:rsid w:val="0098127F"/>
    <w:rsid w:val="00986848"/>
    <w:rsid w:val="00987A4A"/>
    <w:rsid w:val="00990EE4"/>
    <w:rsid w:val="00996440"/>
    <w:rsid w:val="009A02B0"/>
    <w:rsid w:val="009A0A77"/>
    <w:rsid w:val="009A3B49"/>
    <w:rsid w:val="009A42AA"/>
    <w:rsid w:val="009A52F8"/>
    <w:rsid w:val="009A6512"/>
    <w:rsid w:val="009A6C2B"/>
    <w:rsid w:val="009B091C"/>
    <w:rsid w:val="009C2829"/>
    <w:rsid w:val="009C2B17"/>
    <w:rsid w:val="009D2AD3"/>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7091D"/>
    <w:rsid w:val="00B70F09"/>
    <w:rsid w:val="00B756E4"/>
    <w:rsid w:val="00B761DE"/>
    <w:rsid w:val="00B765E4"/>
    <w:rsid w:val="00B76E50"/>
    <w:rsid w:val="00B8641A"/>
    <w:rsid w:val="00B876FB"/>
    <w:rsid w:val="00B92A82"/>
    <w:rsid w:val="00B93AD2"/>
    <w:rsid w:val="00BA124E"/>
    <w:rsid w:val="00BA429D"/>
    <w:rsid w:val="00BA4D87"/>
    <w:rsid w:val="00BC607D"/>
    <w:rsid w:val="00BD1CFF"/>
    <w:rsid w:val="00BD6F11"/>
    <w:rsid w:val="00BD7F52"/>
    <w:rsid w:val="00BE01D0"/>
    <w:rsid w:val="00BE1CC6"/>
    <w:rsid w:val="00BE3394"/>
    <w:rsid w:val="00BF4E49"/>
    <w:rsid w:val="00C00795"/>
    <w:rsid w:val="00C02D42"/>
    <w:rsid w:val="00C07E58"/>
    <w:rsid w:val="00C108DA"/>
    <w:rsid w:val="00C1383C"/>
    <w:rsid w:val="00C175F9"/>
    <w:rsid w:val="00C270F3"/>
    <w:rsid w:val="00C30B6C"/>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B33"/>
    <w:rsid w:val="00D42C21"/>
    <w:rsid w:val="00D505A2"/>
    <w:rsid w:val="00D50993"/>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0930"/>
    <w:rsid w:val="00E625F4"/>
    <w:rsid w:val="00E76215"/>
    <w:rsid w:val="00E840C8"/>
    <w:rsid w:val="00E87236"/>
    <w:rsid w:val="00E87D19"/>
    <w:rsid w:val="00EA0165"/>
    <w:rsid w:val="00EB52BC"/>
    <w:rsid w:val="00ED0722"/>
    <w:rsid w:val="00ED5A3B"/>
    <w:rsid w:val="00ED5C1C"/>
    <w:rsid w:val="00ED6E29"/>
    <w:rsid w:val="00EE0C3F"/>
    <w:rsid w:val="00EE3938"/>
    <w:rsid w:val="00EE4C13"/>
    <w:rsid w:val="00EF556C"/>
    <w:rsid w:val="00F0562E"/>
    <w:rsid w:val="00F106B3"/>
    <w:rsid w:val="00F11ACA"/>
    <w:rsid w:val="00F13FE9"/>
    <w:rsid w:val="00F21CCC"/>
    <w:rsid w:val="00F446B2"/>
    <w:rsid w:val="00F46FF8"/>
    <w:rsid w:val="00F5234B"/>
    <w:rsid w:val="00F610ED"/>
    <w:rsid w:val="00F75CAB"/>
    <w:rsid w:val="00F8146E"/>
    <w:rsid w:val="00F900D9"/>
    <w:rsid w:val="00F90B4D"/>
    <w:rsid w:val="00F91754"/>
    <w:rsid w:val="00F94D61"/>
    <w:rsid w:val="00F9573C"/>
    <w:rsid w:val="00F97AAD"/>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1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74275492">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289020470">
      <w:bodyDiv w:val="1"/>
      <w:marLeft w:val="0"/>
      <w:marRight w:val="0"/>
      <w:marTop w:val="0"/>
      <w:marBottom w:val="0"/>
      <w:divBdr>
        <w:top w:val="none" w:sz="0" w:space="0" w:color="auto"/>
        <w:left w:val="none" w:sz="0" w:space="0" w:color="auto"/>
        <w:bottom w:val="none" w:sz="0" w:space="0" w:color="auto"/>
        <w:right w:val="none" w:sz="0" w:space="0" w:color="auto"/>
      </w:divBdr>
    </w:div>
    <w:div w:id="30285557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542136770">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982538700">
      <w:bodyDiv w:val="1"/>
      <w:marLeft w:val="0"/>
      <w:marRight w:val="0"/>
      <w:marTop w:val="0"/>
      <w:marBottom w:val="0"/>
      <w:divBdr>
        <w:top w:val="none" w:sz="0" w:space="0" w:color="auto"/>
        <w:left w:val="none" w:sz="0" w:space="0" w:color="auto"/>
        <w:bottom w:val="none" w:sz="0" w:space="0" w:color="auto"/>
        <w:right w:val="none" w:sz="0" w:space="0" w:color="auto"/>
      </w:divBdr>
    </w:div>
    <w:div w:id="1008100695">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082261600">
      <w:bodyDiv w:val="1"/>
      <w:marLeft w:val="0"/>
      <w:marRight w:val="0"/>
      <w:marTop w:val="0"/>
      <w:marBottom w:val="0"/>
      <w:divBdr>
        <w:top w:val="none" w:sz="0" w:space="0" w:color="auto"/>
        <w:left w:val="none" w:sz="0" w:space="0" w:color="auto"/>
        <w:bottom w:val="none" w:sz="0" w:space="0" w:color="auto"/>
        <w:right w:val="none" w:sz="0" w:space="0" w:color="auto"/>
      </w:divBdr>
    </w:div>
    <w:div w:id="1094864341">
      <w:bodyDiv w:val="1"/>
      <w:marLeft w:val="0"/>
      <w:marRight w:val="0"/>
      <w:marTop w:val="0"/>
      <w:marBottom w:val="0"/>
      <w:divBdr>
        <w:top w:val="none" w:sz="0" w:space="0" w:color="auto"/>
        <w:left w:val="none" w:sz="0" w:space="0" w:color="auto"/>
        <w:bottom w:val="none" w:sz="0" w:space="0" w:color="auto"/>
        <w:right w:val="none" w:sz="0" w:space="0" w:color="auto"/>
      </w:divBdr>
    </w:div>
    <w:div w:id="1331982759">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731271979">
      <w:bodyDiv w:val="1"/>
      <w:marLeft w:val="0"/>
      <w:marRight w:val="0"/>
      <w:marTop w:val="0"/>
      <w:marBottom w:val="0"/>
      <w:divBdr>
        <w:top w:val="none" w:sz="0" w:space="0" w:color="auto"/>
        <w:left w:val="none" w:sz="0" w:space="0" w:color="auto"/>
        <w:bottom w:val="none" w:sz="0" w:space="0" w:color="auto"/>
        <w:right w:val="none" w:sz="0" w:space="0" w:color="auto"/>
      </w:divBdr>
    </w:div>
    <w:div w:id="1763406249">
      <w:bodyDiv w:val="1"/>
      <w:marLeft w:val="0"/>
      <w:marRight w:val="0"/>
      <w:marTop w:val="0"/>
      <w:marBottom w:val="0"/>
      <w:divBdr>
        <w:top w:val="none" w:sz="0" w:space="0" w:color="auto"/>
        <w:left w:val="none" w:sz="0" w:space="0" w:color="auto"/>
        <w:bottom w:val="none" w:sz="0" w:space="0" w:color="auto"/>
        <w:right w:val="none" w:sz="0" w:space="0" w:color="auto"/>
      </w:divBdr>
    </w:div>
    <w:div w:id="1770543120">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 w:id="19139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president/pulse"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agardes@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intranet.utmb.edu/healthsystem/Patients/submission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pepper/default.asp" TargetMode="External"/><Relationship Id="rId5" Type="http://schemas.openxmlformats.org/officeDocument/2006/relationships/webSettings" Target="webSettings.xml"/><Relationship Id="rId15" Type="http://schemas.openxmlformats.org/officeDocument/2006/relationships/hyperlink" Target="http://www.utmb.edu/olt" TargetMode="External"/><Relationship Id="rId23" Type="http://schemas.openxmlformats.org/officeDocument/2006/relationships/hyperlink" Target="mailto:prbriggs@utmb.edu"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eac" TargetMode="External"/><Relationship Id="rId22" Type="http://schemas.openxmlformats.org/officeDocument/2006/relationships/hyperlink" Target="mailto:jamcgaug@utmb.ed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E809F-3536-4828-8279-2102C4E5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7</cp:revision>
  <cp:lastPrinted>2018-07-05T15:23:00Z</cp:lastPrinted>
  <dcterms:created xsi:type="dcterms:W3CDTF">2018-07-05T14:57:00Z</dcterms:created>
  <dcterms:modified xsi:type="dcterms:W3CDTF">2018-07-10T19:15:00Z</dcterms:modified>
</cp:coreProperties>
</file>